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9B2EB" w14:textId="5AEBD808" w:rsidR="00FA046A" w:rsidRPr="007645CF" w:rsidRDefault="00FA046A" w:rsidP="004D622B">
      <w:pPr>
        <w:spacing w:after="0" w:line="240" w:lineRule="auto"/>
        <w:jc w:val="center"/>
        <w:rPr>
          <w:rFonts w:ascii="Times New Roman" w:hAnsi="Times New Roman" w:cs="Times New Roman"/>
          <w:b/>
          <w:sz w:val="24"/>
          <w:szCs w:val="24"/>
        </w:rPr>
      </w:pPr>
      <w:r w:rsidRPr="00FE21FF">
        <w:rPr>
          <w:rFonts w:ascii="Times New Roman" w:hAnsi="Times New Roman" w:cs="Times New Roman"/>
          <w:b/>
          <w:sz w:val="24"/>
          <w:szCs w:val="24"/>
        </w:rPr>
        <w:t>Разъяснения полож</w:t>
      </w:r>
      <w:r w:rsidR="00133E23" w:rsidRPr="00FE21FF">
        <w:rPr>
          <w:rFonts w:ascii="Times New Roman" w:hAnsi="Times New Roman" w:cs="Times New Roman"/>
          <w:b/>
          <w:sz w:val="24"/>
          <w:szCs w:val="24"/>
        </w:rPr>
        <w:t>е</w:t>
      </w:r>
      <w:r w:rsidR="00240BC4" w:rsidRPr="00FE21FF">
        <w:rPr>
          <w:rFonts w:ascii="Times New Roman" w:hAnsi="Times New Roman" w:cs="Times New Roman"/>
          <w:b/>
          <w:sz w:val="24"/>
          <w:szCs w:val="24"/>
        </w:rPr>
        <w:t xml:space="preserve">ний </w:t>
      </w:r>
      <w:r w:rsidR="00BD5114">
        <w:rPr>
          <w:rFonts w:ascii="Times New Roman" w:hAnsi="Times New Roman" w:cs="Times New Roman"/>
          <w:b/>
          <w:sz w:val="24"/>
          <w:szCs w:val="24"/>
        </w:rPr>
        <w:t xml:space="preserve">конкурсной </w:t>
      </w:r>
      <w:r w:rsidR="00240BC4" w:rsidRPr="00FE21FF">
        <w:rPr>
          <w:rFonts w:ascii="Times New Roman" w:hAnsi="Times New Roman" w:cs="Times New Roman"/>
          <w:b/>
          <w:sz w:val="24"/>
          <w:szCs w:val="24"/>
        </w:rPr>
        <w:t xml:space="preserve">документации о закупке от </w:t>
      </w:r>
      <w:r w:rsidR="003876E2" w:rsidRPr="00556D66">
        <w:rPr>
          <w:rFonts w:ascii="Times New Roman" w:hAnsi="Times New Roman" w:cs="Times New Roman"/>
          <w:b/>
          <w:sz w:val="24"/>
          <w:szCs w:val="24"/>
        </w:rPr>
        <w:t>04</w:t>
      </w:r>
      <w:r w:rsidR="003B0D31" w:rsidRPr="00FE21FF">
        <w:rPr>
          <w:rFonts w:ascii="Times New Roman" w:hAnsi="Times New Roman" w:cs="Times New Roman"/>
          <w:b/>
          <w:sz w:val="24"/>
          <w:szCs w:val="24"/>
        </w:rPr>
        <w:t>.</w:t>
      </w:r>
      <w:r w:rsidR="003876E2" w:rsidRPr="003876E2">
        <w:rPr>
          <w:rFonts w:ascii="Times New Roman" w:hAnsi="Times New Roman" w:cs="Times New Roman"/>
          <w:b/>
          <w:sz w:val="24"/>
          <w:szCs w:val="24"/>
        </w:rPr>
        <w:t>09</w:t>
      </w:r>
      <w:r w:rsidR="00240BC4" w:rsidRPr="00FE21FF">
        <w:rPr>
          <w:rFonts w:ascii="Times New Roman" w:hAnsi="Times New Roman" w:cs="Times New Roman"/>
          <w:b/>
          <w:sz w:val="24"/>
          <w:szCs w:val="24"/>
        </w:rPr>
        <w:t>.202</w:t>
      </w:r>
      <w:r w:rsidR="00BA54C5">
        <w:rPr>
          <w:rFonts w:ascii="Times New Roman" w:hAnsi="Times New Roman" w:cs="Times New Roman"/>
          <w:b/>
          <w:sz w:val="24"/>
          <w:szCs w:val="24"/>
        </w:rPr>
        <w:t>3</w:t>
      </w:r>
      <w:r w:rsidRPr="00FE21FF">
        <w:rPr>
          <w:rFonts w:ascii="Times New Roman" w:hAnsi="Times New Roman" w:cs="Times New Roman"/>
          <w:b/>
          <w:sz w:val="24"/>
          <w:szCs w:val="24"/>
        </w:rPr>
        <w:t xml:space="preserve"> г. № </w:t>
      </w:r>
      <w:r w:rsidR="002E3D9A">
        <w:rPr>
          <w:rFonts w:ascii="Times New Roman" w:hAnsi="Times New Roman" w:cs="Times New Roman"/>
          <w:b/>
          <w:sz w:val="24"/>
          <w:szCs w:val="24"/>
        </w:rPr>
        <w:t>7</w:t>
      </w:r>
      <w:r w:rsidRPr="007645CF">
        <w:rPr>
          <w:rFonts w:ascii="Times New Roman" w:hAnsi="Times New Roman" w:cs="Times New Roman"/>
          <w:b/>
          <w:sz w:val="24"/>
          <w:szCs w:val="24"/>
        </w:rPr>
        <w:t xml:space="preserve"> </w:t>
      </w:r>
    </w:p>
    <w:p w14:paraId="7451C5C6" w14:textId="6270E96B" w:rsidR="00FA046A" w:rsidRPr="007645CF" w:rsidRDefault="00FA046A" w:rsidP="000E1A19">
      <w:pPr>
        <w:spacing w:after="120" w:line="240" w:lineRule="auto"/>
        <w:jc w:val="center"/>
        <w:rPr>
          <w:rFonts w:ascii="Times New Roman" w:hAnsi="Times New Roman" w:cs="Times New Roman"/>
          <w:b/>
          <w:sz w:val="24"/>
          <w:szCs w:val="24"/>
        </w:rPr>
      </w:pPr>
      <w:r w:rsidRPr="007645CF">
        <w:rPr>
          <w:rFonts w:ascii="Times New Roman" w:hAnsi="Times New Roman" w:cs="Times New Roman"/>
          <w:b/>
          <w:sz w:val="24"/>
          <w:szCs w:val="24"/>
        </w:rPr>
        <w:t>(</w:t>
      </w:r>
      <w:r w:rsidR="00BD5114" w:rsidRPr="00BD5114">
        <w:rPr>
          <w:rFonts w:ascii="Times New Roman" w:hAnsi="Times New Roman" w:cs="Times New Roman"/>
          <w:b/>
          <w:sz w:val="24"/>
          <w:szCs w:val="24"/>
        </w:rPr>
        <w:t xml:space="preserve">Извещение </w:t>
      </w:r>
      <w:r w:rsidR="00BD5114" w:rsidRPr="00BD5114">
        <w:rPr>
          <w:rFonts w:ascii="Times New Roman" w:hAnsi="Times New Roman" w:cs="Times New Roman"/>
          <w:b/>
          <w:bCs/>
          <w:sz w:val="24"/>
          <w:szCs w:val="24"/>
        </w:rPr>
        <w:t>от 22.08.2023 г. № ОКЭФ-ДРОЭЗ-69</w:t>
      </w:r>
      <w:r w:rsidRPr="007645CF">
        <w:rPr>
          <w:rFonts w:ascii="Times New Roman" w:hAnsi="Times New Roman" w:cs="Times New Roman"/>
          <w:b/>
          <w:sz w:val="24"/>
          <w:szCs w:val="24"/>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769"/>
        <w:gridCol w:w="5103"/>
      </w:tblGrid>
      <w:tr w:rsidR="00FA046A" w:rsidRPr="007645CF" w14:paraId="1FFDF717" w14:textId="77777777" w:rsidTr="00075C89">
        <w:tc>
          <w:tcPr>
            <w:tcW w:w="618" w:type="dxa"/>
            <w:shd w:val="clear" w:color="auto" w:fill="auto"/>
            <w:vAlign w:val="center"/>
          </w:tcPr>
          <w:p w14:paraId="001D260F" w14:textId="77777777"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 п/п</w:t>
            </w:r>
          </w:p>
        </w:tc>
        <w:tc>
          <w:tcPr>
            <w:tcW w:w="4769" w:type="dxa"/>
            <w:shd w:val="clear" w:color="auto" w:fill="auto"/>
            <w:vAlign w:val="center"/>
          </w:tcPr>
          <w:p w14:paraId="7949BAED" w14:textId="77777777"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hAnsi="Times New Roman" w:cs="Times New Roman"/>
                <w:sz w:val="24"/>
                <w:szCs w:val="24"/>
              </w:rPr>
              <w:t>Вопрос</w:t>
            </w:r>
          </w:p>
        </w:tc>
        <w:tc>
          <w:tcPr>
            <w:tcW w:w="5103" w:type="dxa"/>
            <w:shd w:val="clear" w:color="auto" w:fill="auto"/>
            <w:vAlign w:val="center"/>
          </w:tcPr>
          <w:p w14:paraId="1C95201F" w14:textId="77777777"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Разъяснения</w:t>
            </w:r>
          </w:p>
        </w:tc>
      </w:tr>
      <w:tr w:rsidR="00FA046A" w:rsidRPr="007645CF" w14:paraId="6B746F3F" w14:textId="77777777" w:rsidTr="00075C89">
        <w:trPr>
          <w:trHeight w:val="315"/>
        </w:trPr>
        <w:tc>
          <w:tcPr>
            <w:tcW w:w="618" w:type="dxa"/>
            <w:shd w:val="clear" w:color="auto" w:fill="auto"/>
            <w:vAlign w:val="center"/>
          </w:tcPr>
          <w:p w14:paraId="6CFCFF2D" w14:textId="77777777" w:rsidR="00FA046A" w:rsidRPr="007645CF" w:rsidRDefault="00FA046A" w:rsidP="004D622B">
            <w:pPr>
              <w:spacing w:after="0" w:line="240" w:lineRule="auto"/>
              <w:contextualSpacing/>
              <w:jc w:val="center"/>
              <w:rPr>
                <w:rFonts w:ascii="Times New Roman" w:eastAsia="Times New Roman" w:hAnsi="Times New Roman" w:cs="Times New Roman"/>
                <w:kern w:val="2"/>
                <w:sz w:val="24"/>
                <w:szCs w:val="24"/>
                <w:lang w:eastAsia="ru-RU"/>
              </w:rPr>
            </w:pPr>
            <w:r w:rsidRPr="007645CF">
              <w:rPr>
                <w:rFonts w:ascii="Times New Roman" w:eastAsia="Times New Roman" w:hAnsi="Times New Roman" w:cs="Times New Roman"/>
                <w:kern w:val="2"/>
                <w:sz w:val="24"/>
                <w:szCs w:val="24"/>
                <w:lang w:eastAsia="ru-RU"/>
              </w:rPr>
              <w:t>1</w:t>
            </w:r>
          </w:p>
        </w:tc>
        <w:tc>
          <w:tcPr>
            <w:tcW w:w="4769" w:type="dxa"/>
            <w:shd w:val="clear" w:color="auto" w:fill="auto"/>
          </w:tcPr>
          <w:p w14:paraId="410888A9"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 документации закупки НМЦД указана в двух значениях — с НДС и без НДС, что не соответствует требованиям Федерального закона от 18 июля 2011 г. № 223-ФЗ «О закупках товаров, работ, услуг отдельными видами юридических лиц» (далее — Закон о закупках).</w:t>
            </w:r>
          </w:p>
          <w:p w14:paraId="7F6F8E1D"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Возможность установления разных значений цены для участников закупки (в зависимости от применяемой ими системы налогообложения), не следует из положений части 10 статьи 4 Закона о закупках, согласно пункту 5 которой в документации о конкурентной закупке должны быть указаны сведения о НМЦД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ABDCC0"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Данный вывод также следует из письма ФАС России от 22 августа 2018 г. № АД/66562/18, в котором относительно возможности указания в документации закупки НМЦД с НДС и без НДС указано следующее</w:t>
            </w:r>
            <w:proofErr w:type="gramStart"/>
            <w:r w:rsidRPr="002E3D9A">
              <w:rPr>
                <w:rFonts w:ascii="Times New Roman" w:eastAsia="Times New Roman" w:hAnsi="Times New Roman" w:cs="Times New Roman"/>
                <w:kern w:val="2"/>
                <w:sz w:val="24"/>
                <w:szCs w:val="24"/>
                <w:lang w:eastAsia="ru-RU"/>
              </w:rPr>
              <w:t xml:space="preserve"> :</w:t>
            </w:r>
            <w:proofErr w:type="gramEnd"/>
          </w:p>
          <w:p w14:paraId="5D40B972"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«Согласно пунктам 5, 7 части 10 статьи 4 Закона о закупках в документации о закупке должны быть указаны сведения, определенные положением о закупке, в том числе сведения о начальной (максимальной) цене договора (цене лота)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172275"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Следовательно, при определении в документации о закупке начальной (максимальной) цены договора заказчик должен установить одно значение такой цены для всех участников закупки (независимо от применяемой ими системы налогообложения), указав при этом содержит или нет установленная цена НДС.</w:t>
            </w:r>
          </w:p>
          <w:p w14:paraId="6D91A663"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 xml:space="preserve">При этом, наличие в документации о закупке нескольких значений начальной (максимальной) цены договора (цены лота) не соответствует положениями Закона о закупках и может привести к </w:t>
            </w:r>
            <w:r w:rsidRPr="002E3D9A">
              <w:rPr>
                <w:rFonts w:ascii="Times New Roman" w:eastAsia="Times New Roman" w:hAnsi="Times New Roman" w:cs="Times New Roman"/>
                <w:kern w:val="2"/>
                <w:sz w:val="24"/>
                <w:szCs w:val="24"/>
                <w:lang w:eastAsia="ru-RU"/>
              </w:rPr>
              <w:lastRenderedPageBreak/>
              <w:t>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w:t>
            </w:r>
          </w:p>
          <w:p w14:paraId="07A91389"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 нарушение положений Закона о закупках в документации заказчик установил НМЦД в двух значениях.</w:t>
            </w:r>
          </w:p>
          <w:p w14:paraId="7C5F3413"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Так в извещении о проведении закупки указана НМЦД без НДС в размере 71 940 020 рублей. Далее установлена цена с НДС в размере 86 328 024,00 рублей с указанием на то, что это сделано «</w:t>
            </w:r>
            <w:proofErr w:type="spellStart"/>
            <w:r w:rsidRPr="002E3D9A">
              <w:rPr>
                <w:rFonts w:ascii="Times New Roman" w:eastAsia="Times New Roman" w:hAnsi="Times New Roman" w:cs="Times New Roman"/>
                <w:kern w:val="2"/>
                <w:sz w:val="24"/>
                <w:szCs w:val="24"/>
                <w:lang w:eastAsia="ru-RU"/>
              </w:rPr>
              <w:t>справочно</w:t>
            </w:r>
            <w:proofErr w:type="spellEnd"/>
            <w:r w:rsidRPr="002E3D9A">
              <w:rPr>
                <w:rFonts w:ascii="Times New Roman" w:eastAsia="Times New Roman" w:hAnsi="Times New Roman" w:cs="Times New Roman"/>
                <w:kern w:val="2"/>
                <w:sz w:val="24"/>
                <w:szCs w:val="24"/>
                <w:lang w:eastAsia="ru-RU"/>
              </w:rPr>
              <w:t>», а также «в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w:t>
            </w:r>
          </w:p>
          <w:p w14:paraId="6B5DBDC7"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Также в пункте 9 конкурсной документации относительно порядка осуществления оценки и сопоставления заявок на участие в конкурсе указано, что «ценовые предложения участников сопоставляются без учета НДС». При этом, в форме заявки на участие в открытом конкурсе участникам предлагается указать цену без НДС, а также, если участник является плательщиком НДС — указать НДС и цену с НДС.</w:t>
            </w:r>
          </w:p>
          <w:p w14:paraId="06466552"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Указание НМЦД в документации закупки в двух значениях является нарушением части 10 статьи 4 Закона о закупках.</w:t>
            </w:r>
          </w:p>
          <w:p w14:paraId="55A9AF2A"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Вывод о недопустимости установления НМЦД в двух значениях также подтверждается определением Судебной коллегии по экономическим спорам Верховного Суда Российской Федерации от 23 апреля 2021 г. № 307-ЭС20-21065 по делу № А56-75118/2019, постановлением Арбитражного Суда Западно-Сибирского округа от 16 марта 2021 г. по делу № А70-3079/2020.</w:t>
            </w:r>
          </w:p>
          <w:p w14:paraId="61BF8AF3"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 xml:space="preserve">Кроме того, следует принять во внимание, что в соответствии с приложением № 3 к конкурсной документации (Критерии оценки заявок на участие в конкурсе, величины значимости этих критериев, порядок оценки заявок на участие в конкурсе), одним из показателей оценки по критерию «Квалификация, опыт, репутация участников закупки» является «Общее количество контрактов (договоров) на выполнение работ (услуг) по разработке концепций и/или стратегий и/или </w:t>
            </w:r>
            <w:r w:rsidRPr="002E3D9A">
              <w:rPr>
                <w:rFonts w:ascii="Times New Roman" w:eastAsia="Times New Roman" w:hAnsi="Times New Roman" w:cs="Times New Roman"/>
                <w:kern w:val="2"/>
                <w:sz w:val="24"/>
                <w:szCs w:val="24"/>
                <w:lang w:eastAsia="ru-RU"/>
              </w:rPr>
              <w:lastRenderedPageBreak/>
              <w:t>архитектурных и/или градостроительных концепций и/или мастер-планов развития территорий и/или объектов».</w:t>
            </w:r>
          </w:p>
          <w:p w14:paraId="0C42855D"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 отношении предмета оценки по данному показателю в документации закупки указано, что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с ценой принятых Заказчиком услуг (работ) по каждому контракту (договору) не менее 10 процентов начальной (максимальной) цены договора настоящего проводимого конкурса».</w:t>
            </w:r>
          </w:p>
          <w:p w14:paraId="6F0308A4"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Ввиду наличия в документации закупки информации о 2 разных значениях НМЦД, не представляется возможным понять, договоры (контракты) с какой именно ценой будут приняты к оценке по указанному показателю.</w:t>
            </w:r>
          </w:p>
          <w:p w14:paraId="77AEDAE7" w14:textId="5B3BF0CF" w:rsidR="00D57226" w:rsidRPr="00614A8F"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Согласно вышесказанному, просим заказчика устранить нарушение, установив НМЦД в одном значении — с НДС или без НДС, указав соответств</w:t>
            </w:r>
            <w:r w:rsidR="00C80A92">
              <w:rPr>
                <w:rFonts w:ascii="Times New Roman" w:eastAsia="Times New Roman" w:hAnsi="Times New Roman" w:cs="Times New Roman"/>
                <w:kern w:val="2"/>
                <w:sz w:val="24"/>
                <w:szCs w:val="24"/>
                <w:lang w:eastAsia="ru-RU"/>
              </w:rPr>
              <w:t>ующую информацию в документации</w:t>
            </w:r>
          </w:p>
        </w:tc>
        <w:tc>
          <w:tcPr>
            <w:tcW w:w="5103" w:type="dxa"/>
            <w:shd w:val="clear" w:color="auto" w:fill="auto"/>
          </w:tcPr>
          <w:p w14:paraId="711176DC" w14:textId="2B241072" w:rsidR="00116CC7" w:rsidRDefault="00116CC7" w:rsidP="00116CC7">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sz w:val="24"/>
                <w:szCs w:val="24"/>
              </w:rPr>
            </w:pPr>
            <w:r w:rsidRPr="00116CC7">
              <w:rPr>
                <w:rFonts w:ascii="Times New Roman" w:eastAsia="Calibri" w:hAnsi="Times New Roman" w:cs="Times New Roman"/>
                <w:sz w:val="24"/>
                <w:szCs w:val="24"/>
              </w:rPr>
              <w:lastRenderedPageBreak/>
              <w:t xml:space="preserve">Согласно части 2 статьи 2 </w:t>
            </w:r>
            <w:r w:rsidR="00B01E55" w:rsidRPr="00B01E55">
              <w:rPr>
                <w:rFonts w:ascii="Times New Roman" w:eastAsia="Calibri" w:hAnsi="Times New Roman" w:cs="Times New Roman"/>
                <w:bCs/>
                <w:sz w:val="24"/>
                <w:szCs w:val="24"/>
              </w:rPr>
              <w:t>Федерального закона от 18.07.2011 № 223-ФЗ (далее – Закон о закупках)</w:t>
            </w:r>
            <w:r w:rsidRPr="00116CC7">
              <w:rPr>
                <w:rFonts w:ascii="Times New Roman" w:eastAsia="Calibri" w:hAnsi="Times New Roman" w:cs="Times New Roman"/>
                <w:sz w:val="24"/>
                <w:szCs w:val="24"/>
              </w:rPr>
              <w:t xml:space="preserve"> положение о закупке является документом, который регламентирует закупочную деятельность заказчика, тем самым, Закон о закупках предоставляет право заказчику самостоятельно, в рамках за</w:t>
            </w:r>
            <w:bookmarkStart w:id="0" w:name="_GoBack"/>
            <w:bookmarkEnd w:id="0"/>
            <w:r w:rsidRPr="00116CC7">
              <w:rPr>
                <w:rFonts w:ascii="Times New Roman" w:eastAsia="Calibri" w:hAnsi="Times New Roman" w:cs="Times New Roman"/>
                <w:sz w:val="24"/>
                <w:szCs w:val="24"/>
              </w:rPr>
              <w:t>конодательства Российской Федерации, нормами, определенными положением о закупке, устанавливать по своему усмотрению порядок проведения закупки, включая определение начальной (максимальной) цены договора.</w:t>
            </w:r>
          </w:p>
          <w:p w14:paraId="780D49FE" w14:textId="77777777" w:rsidR="002A05E2" w:rsidRPr="002A05E2" w:rsidRDefault="002A05E2" w:rsidP="002A05E2">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sz w:val="24"/>
                <w:szCs w:val="24"/>
              </w:rPr>
            </w:pPr>
            <w:r w:rsidRPr="002A05E2">
              <w:rPr>
                <w:rFonts w:ascii="Times New Roman" w:eastAsia="Calibri" w:hAnsi="Times New Roman" w:cs="Times New Roman"/>
                <w:sz w:val="24"/>
                <w:szCs w:val="24"/>
              </w:rPr>
              <w:t>Обязательным условием размещения извещения о проведении закупки в единой информационной системе в сфере закупок товаров, работ, услуг (далее – ЕИС) является наличие закупки в плане закупки, где цена договора указывается с учетом НДС, а в случае, если поставка товара, выполнение работ, оказание услуг не облагается в соответствии с законодательством Российской Федерации налогом, то без учета НДС.</w:t>
            </w:r>
          </w:p>
          <w:p w14:paraId="7A225DB5" w14:textId="19B2973F" w:rsidR="002A05E2" w:rsidRPr="00116CC7" w:rsidRDefault="002A05E2" w:rsidP="002A05E2">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sz w:val="24"/>
                <w:szCs w:val="24"/>
              </w:rPr>
            </w:pPr>
            <w:r w:rsidRPr="002A05E2">
              <w:rPr>
                <w:rFonts w:ascii="Times New Roman" w:eastAsia="Calibri" w:hAnsi="Times New Roman" w:cs="Times New Roman"/>
                <w:sz w:val="24"/>
                <w:szCs w:val="24"/>
              </w:rPr>
              <w:t>При этом согласно нормам законодательства, в случае отклонения более чем на 10 процентов начальной (максимальной) цены договора, определенной извещением, от цены договора, определённой планом закупки, функционал ЕИС не дает возможность разместить извещение о закупке в ЕИС, т.е. не дает возможность разместить закупку с указанием ее начальной (максимальной) цены договора без учета НДС, в случае, если в соответствии с законодательством, поставка товара, выполнение работ, оказание услуг облагается налогом.</w:t>
            </w:r>
          </w:p>
          <w:p w14:paraId="2F78852B" w14:textId="0338DF20" w:rsidR="00116CC7" w:rsidRPr="00116CC7" w:rsidRDefault="00116CC7" w:rsidP="00116CC7">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bCs/>
                <w:sz w:val="24"/>
                <w:szCs w:val="24"/>
              </w:rPr>
            </w:pPr>
            <w:r w:rsidRPr="00116CC7">
              <w:rPr>
                <w:rFonts w:ascii="Times New Roman" w:eastAsia="Calibri" w:hAnsi="Times New Roman" w:cs="Times New Roman"/>
                <w:sz w:val="24"/>
                <w:szCs w:val="24"/>
              </w:rPr>
              <w:t>Руководствуясь принципом равноправия, справедливости, отсутствия дискриминации и необоснованных ограничений конкуренции по отношению к участникам закупки, определенным частью 1 статьи 3 Закона о закупках, в целях приведения к единому базису сравнения ценовых предложений участников закупки, являющихся плательщиком НДС, а также ценовых предложений участников закупки, не являющихся, в соответствии с законодательством, плательщиком НДС</w:t>
            </w:r>
            <w:r w:rsidRPr="00116CC7">
              <w:rPr>
                <w:rFonts w:ascii="Times New Roman" w:eastAsia="Calibri" w:hAnsi="Times New Roman" w:cs="Times New Roman"/>
                <w:bCs/>
                <w:sz w:val="24"/>
                <w:szCs w:val="24"/>
              </w:rPr>
              <w:t>, в конкурсной документации начальная (максимальная) цена договора указана</w:t>
            </w:r>
            <w:r>
              <w:rPr>
                <w:rFonts w:ascii="Times New Roman" w:eastAsia="Calibri" w:hAnsi="Times New Roman" w:cs="Times New Roman"/>
                <w:bCs/>
                <w:sz w:val="24"/>
                <w:szCs w:val="24"/>
              </w:rPr>
              <w:t xml:space="preserve"> </w:t>
            </w:r>
            <w:r w:rsidRPr="00116CC7">
              <w:rPr>
                <w:rFonts w:ascii="Times New Roman" w:eastAsia="Calibri" w:hAnsi="Times New Roman" w:cs="Times New Roman"/>
                <w:bCs/>
                <w:sz w:val="24"/>
                <w:szCs w:val="24"/>
              </w:rPr>
              <w:t xml:space="preserve">71 940 020,00 (Семьдесят один миллион девятьсот сорок тысяч двадцать) рублей 00 </w:t>
            </w:r>
            <w:r w:rsidRPr="00116CC7">
              <w:rPr>
                <w:rFonts w:ascii="Times New Roman" w:eastAsia="Calibri" w:hAnsi="Times New Roman" w:cs="Times New Roman"/>
                <w:bCs/>
                <w:sz w:val="24"/>
                <w:szCs w:val="24"/>
              </w:rPr>
              <w:lastRenderedPageBreak/>
              <w:t>копеек</w:t>
            </w:r>
            <w:r>
              <w:rPr>
                <w:rFonts w:ascii="Times New Roman" w:eastAsia="Calibri" w:hAnsi="Times New Roman" w:cs="Times New Roman"/>
                <w:bCs/>
                <w:sz w:val="24"/>
                <w:szCs w:val="24"/>
              </w:rPr>
              <w:t xml:space="preserve">, без учета НДС. </w:t>
            </w:r>
            <w:r w:rsidRPr="00116CC7">
              <w:rPr>
                <w:rFonts w:ascii="Times New Roman" w:eastAsia="Calibri" w:hAnsi="Times New Roman" w:cs="Times New Roman"/>
                <w:bCs/>
                <w:sz w:val="24"/>
                <w:szCs w:val="24"/>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116CC7">
              <w:rPr>
                <w:rFonts w:ascii="Times New Roman" w:eastAsia="Calibri" w:hAnsi="Times New Roman" w:cs="Times New Roman"/>
                <w:bCs/>
                <w:sz w:val="24"/>
                <w:szCs w:val="24"/>
              </w:rPr>
              <w:t>справочно</w:t>
            </w:r>
            <w:proofErr w:type="spellEnd"/>
            <w:r w:rsidRPr="00116CC7">
              <w:rPr>
                <w:rFonts w:ascii="Times New Roman" w:eastAsia="Calibri" w:hAnsi="Times New Roman" w:cs="Times New Roman"/>
                <w:bCs/>
                <w:sz w:val="24"/>
                <w:szCs w:val="24"/>
              </w:rPr>
              <w:t xml:space="preserve"> приводится начальная (максимальная) цена договора с учетом НДС в размере</w:t>
            </w:r>
            <w:r>
              <w:rPr>
                <w:rFonts w:ascii="Times New Roman" w:eastAsia="Calibri" w:hAnsi="Times New Roman" w:cs="Times New Roman"/>
                <w:bCs/>
                <w:sz w:val="24"/>
                <w:szCs w:val="24"/>
              </w:rPr>
              <w:t xml:space="preserve"> </w:t>
            </w:r>
            <w:r w:rsidRPr="00116CC7">
              <w:rPr>
                <w:rFonts w:ascii="Times New Roman" w:eastAsia="Calibri" w:hAnsi="Times New Roman" w:cs="Times New Roman"/>
                <w:bCs/>
                <w:sz w:val="24"/>
                <w:szCs w:val="24"/>
              </w:rPr>
              <w:t>86 328 024,00 (Восемьдесят шесть миллионов триста двадцать восемь тысяч двадцать четыре) рубля 00 копеек, включая НДС.</w:t>
            </w:r>
            <w:r>
              <w:t xml:space="preserve"> </w:t>
            </w:r>
            <w:r w:rsidRPr="00116CC7">
              <w:rPr>
                <w:rFonts w:ascii="Times New Roman" w:eastAsia="Calibri" w:hAnsi="Times New Roman" w:cs="Times New Roman"/>
                <w:bCs/>
                <w:sz w:val="24"/>
                <w:szCs w:val="24"/>
              </w:rPr>
              <w:t>Учитывая нормы Закона о закупках Заказчик самостоятельно в конкурсной документации устанавливает критерии и порядок оценки и сопоставления заявок, в том числе требования к участникам закупки по предоставлению ценового предложения. Указание в документации сведений о начальной (максимальной) цене договора (цене лота) без учета НДС позволяет обеспечить возможность сопоставления по критерию «цена» заявок участников, использующих разные режимы налогообложения, что позволяет соблюсти нормы Закона о закупках и Федерального закона «О защите конкуренции» от 26.07.2006 N 135-ФЗ.</w:t>
            </w:r>
          </w:p>
          <w:p w14:paraId="1B1FB428" w14:textId="703C3DD9" w:rsidR="00116CC7" w:rsidRPr="00116CC7" w:rsidRDefault="00116CC7" w:rsidP="00116CC7">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bCs/>
                <w:sz w:val="24"/>
                <w:szCs w:val="24"/>
              </w:rPr>
            </w:pPr>
            <w:r w:rsidRPr="00116CC7">
              <w:rPr>
                <w:rFonts w:ascii="Times New Roman" w:eastAsia="Calibri" w:hAnsi="Times New Roman" w:cs="Times New Roman"/>
                <w:bCs/>
                <w:sz w:val="24"/>
                <w:szCs w:val="24"/>
              </w:rPr>
              <w:t>В Положении о закупках Заказчика п. 6.3.9.6. предусмотрено условие, что при проведении оценки по ценовому критерию заказчик имеет право в документации о закупке определить единый базис сравнения ценовых предложений участников закупки без учета НДС.</w:t>
            </w:r>
          </w:p>
          <w:p w14:paraId="0F7C3236" w14:textId="77777777" w:rsidR="002F1A67" w:rsidRDefault="00116CC7" w:rsidP="00116CC7">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bCs/>
                <w:sz w:val="24"/>
                <w:szCs w:val="24"/>
              </w:rPr>
            </w:pPr>
            <w:r w:rsidRPr="00116CC7">
              <w:rPr>
                <w:rFonts w:ascii="Times New Roman" w:eastAsia="Calibri" w:hAnsi="Times New Roman" w:cs="Times New Roman"/>
                <w:bCs/>
                <w:sz w:val="24"/>
                <w:szCs w:val="24"/>
              </w:rPr>
              <w:t>Заказчик при определении порядка оценки по ценовому критерию проводит анализ назначения приобретаемой продукции для выяснения, вправе ли он произвести налоговый вычет НДС в соответствии со ст. 171 Налогового кодекса РФ. По указанной закупке применение налогового вычета НДС возможно, в связи с чем был применен п. п. 6.3.9.6. Положения о закупках.</w:t>
            </w:r>
          </w:p>
          <w:p w14:paraId="4118B214" w14:textId="64277B98" w:rsidR="002A05E2" w:rsidRPr="002F1A67" w:rsidRDefault="002A05E2" w:rsidP="00C80A92">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sz w:val="24"/>
                <w:szCs w:val="24"/>
              </w:rPr>
            </w:pPr>
            <w:r w:rsidRPr="002A05E2">
              <w:rPr>
                <w:rFonts w:ascii="Times New Roman" w:eastAsia="Calibri" w:hAnsi="Times New Roman" w:cs="Times New Roman"/>
                <w:sz w:val="24"/>
                <w:szCs w:val="24"/>
              </w:rPr>
              <w:t xml:space="preserve">Принимая во внимание указанное, </w:t>
            </w:r>
            <w:r w:rsidR="00C80A92">
              <w:rPr>
                <w:rFonts w:ascii="Times New Roman" w:eastAsia="Calibri" w:hAnsi="Times New Roman" w:cs="Times New Roman"/>
                <w:sz w:val="24"/>
                <w:szCs w:val="24"/>
              </w:rPr>
              <w:t>учитывая что установлено одно значение начальной (максимальной) цены договора</w:t>
            </w:r>
            <w:r w:rsidR="00C80A92" w:rsidRPr="00C80A92">
              <w:rPr>
                <w:rFonts w:ascii="Times New Roman" w:eastAsia="Calibri" w:hAnsi="Times New Roman" w:cs="Times New Roman"/>
                <w:sz w:val="24"/>
                <w:szCs w:val="24"/>
              </w:rPr>
              <w:t xml:space="preserve"> без </w:t>
            </w:r>
            <w:r w:rsidR="00C80A92">
              <w:rPr>
                <w:rFonts w:ascii="Times New Roman" w:eastAsia="Calibri" w:hAnsi="Times New Roman" w:cs="Times New Roman"/>
                <w:sz w:val="24"/>
                <w:szCs w:val="24"/>
              </w:rPr>
              <w:t xml:space="preserve">учета НДС, </w:t>
            </w:r>
            <w:r w:rsidRPr="002A05E2">
              <w:rPr>
                <w:rFonts w:ascii="Times New Roman" w:eastAsia="Calibri" w:hAnsi="Times New Roman" w:cs="Times New Roman"/>
                <w:sz w:val="24"/>
                <w:szCs w:val="24"/>
              </w:rPr>
              <w:t xml:space="preserve">начальная (максимальная) цена договора, определенная </w:t>
            </w:r>
            <w:r>
              <w:rPr>
                <w:rFonts w:ascii="Times New Roman" w:eastAsia="Calibri" w:hAnsi="Times New Roman" w:cs="Times New Roman"/>
                <w:sz w:val="24"/>
                <w:szCs w:val="24"/>
              </w:rPr>
              <w:t>в</w:t>
            </w:r>
            <w:r w:rsidRPr="002A05E2">
              <w:rPr>
                <w:rFonts w:ascii="Times New Roman" w:eastAsia="Calibri" w:hAnsi="Times New Roman" w:cs="Times New Roman"/>
                <w:sz w:val="24"/>
                <w:szCs w:val="24"/>
              </w:rPr>
              <w:t xml:space="preserve"> </w:t>
            </w:r>
            <w:r w:rsidR="00C80A92">
              <w:rPr>
                <w:rFonts w:ascii="Times New Roman" w:eastAsia="Calibri" w:hAnsi="Times New Roman" w:cs="Times New Roman"/>
                <w:sz w:val="24"/>
                <w:szCs w:val="24"/>
              </w:rPr>
              <w:t>конкурсной документации</w:t>
            </w:r>
            <w:r w:rsidRPr="002A05E2">
              <w:rPr>
                <w:rFonts w:ascii="Times New Roman" w:eastAsia="Calibri" w:hAnsi="Times New Roman" w:cs="Times New Roman"/>
                <w:sz w:val="24"/>
                <w:szCs w:val="24"/>
              </w:rPr>
              <w:t>, соответ</w:t>
            </w:r>
            <w:r w:rsidR="005D7DE6">
              <w:rPr>
                <w:rFonts w:ascii="Times New Roman" w:eastAsia="Calibri" w:hAnsi="Times New Roman" w:cs="Times New Roman"/>
                <w:sz w:val="24"/>
                <w:szCs w:val="24"/>
              </w:rPr>
              <w:t>ствует нормам Закона о закупках</w:t>
            </w:r>
          </w:p>
        </w:tc>
      </w:tr>
      <w:tr w:rsidR="00E64A0D" w:rsidRPr="007645CF" w14:paraId="5F92A0E3" w14:textId="77777777" w:rsidTr="00075C89">
        <w:trPr>
          <w:trHeight w:val="315"/>
        </w:trPr>
        <w:tc>
          <w:tcPr>
            <w:tcW w:w="618" w:type="dxa"/>
            <w:shd w:val="clear" w:color="auto" w:fill="auto"/>
            <w:vAlign w:val="center"/>
          </w:tcPr>
          <w:p w14:paraId="6CDCB6C0" w14:textId="67D75D27" w:rsidR="00E64A0D" w:rsidRPr="007645CF" w:rsidRDefault="00E64A0D" w:rsidP="004D622B">
            <w:pPr>
              <w:spacing w:after="0" w:line="240" w:lineRule="auto"/>
              <w:contextualSpacing/>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2</w:t>
            </w:r>
          </w:p>
        </w:tc>
        <w:tc>
          <w:tcPr>
            <w:tcW w:w="4769" w:type="dxa"/>
            <w:shd w:val="clear" w:color="auto" w:fill="auto"/>
          </w:tcPr>
          <w:p w14:paraId="6FE79F51"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 xml:space="preserve">Объектом закупки является выполнение разработки мастер-планов развития 2 территорий: </w:t>
            </w:r>
          </w:p>
          <w:p w14:paraId="23D7C776"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w:t>
            </w:r>
            <w:r w:rsidRPr="002E3D9A">
              <w:rPr>
                <w:rFonts w:ascii="Times New Roman" w:eastAsia="Times New Roman" w:hAnsi="Times New Roman" w:cs="Times New Roman"/>
                <w:kern w:val="2"/>
                <w:sz w:val="24"/>
                <w:szCs w:val="24"/>
                <w:lang w:eastAsia="ru-RU"/>
              </w:rPr>
              <w:tab/>
              <w:t>курорта Домбай в Карачаевском городском округе Карачаево-Черкесской Республике с прилегающей территорией к курорту Домбай в Карачаевском муниципальном районе (территория Тебердинского Национального парка) (далее — территория 1);</w:t>
            </w:r>
          </w:p>
          <w:p w14:paraId="280BB609"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w:t>
            </w:r>
            <w:r w:rsidRPr="002E3D9A">
              <w:rPr>
                <w:rFonts w:ascii="Times New Roman" w:eastAsia="Times New Roman" w:hAnsi="Times New Roman" w:cs="Times New Roman"/>
                <w:kern w:val="2"/>
                <w:sz w:val="24"/>
                <w:szCs w:val="24"/>
                <w:lang w:eastAsia="ru-RU"/>
              </w:rPr>
              <w:tab/>
            </w:r>
            <w:proofErr w:type="spellStart"/>
            <w:r w:rsidRPr="002E3D9A">
              <w:rPr>
                <w:rFonts w:ascii="Times New Roman" w:eastAsia="Times New Roman" w:hAnsi="Times New Roman" w:cs="Times New Roman"/>
                <w:kern w:val="2"/>
                <w:sz w:val="24"/>
                <w:szCs w:val="24"/>
                <w:lang w:eastAsia="ru-RU"/>
              </w:rPr>
              <w:t>субкластера</w:t>
            </w:r>
            <w:proofErr w:type="spellEnd"/>
            <w:r w:rsidRPr="002E3D9A">
              <w:rPr>
                <w:rFonts w:ascii="Times New Roman" w:eastAsia="Times New Roman" w:hAnsi="Times New Roman" w:cs="Times New Roman"/>
                <w:kern w:val="2"/>
                <w:sz w:val="24"/>
                <w:szCs w:val="24"/>
                <w:lang w:eastAsia="ru-RU"/>
              </w:rPr>
              <w:t xml:space="preserve"> ВТРК «Архыз», село Архыз и «Софийская Поляна» в </w:t>
            </w:r>
            <w:proofErr w:type="spellStart"/>
            <w:r w:rsidRPr="002E3D9A">
              <w:rPr>
                <w:rFonts w:ascii="Times New Roman" w:eastAsia="Times New Roman" w:hAnsi="Times New Roman" w:cs="Times New Roman"/>
                <w:kern w:val="2"/>
                <w:sz w:val="24"/>
                <w:szCs w:val="24"/>
                <w:lang w:eastAsia="ru-RU"/>
              </w:rPr>
              <w:t>Зеленчукском</w:t>
            </w:r>
            <w:proofErr w:type="spellEnd"/>
            <w:r w:rsidRPr="002E3D9A">
              <w:rPr>
                <w:rFonts w:ascii="Times New Roman" w:eastAsia="Times New Roman" w:hAnsi="Times New Roman" w:cs="Times New Roman"/>
                <w:kern w:val="2"/>
                <w:sz w:val="24"/>
                <w:szCs w:val="24"/>
                <w:lang w:eastAsia="ru-RU"/>
              </w:rPr>
              <w:t xml:space="preserve"> муниципальном районе Карачаево-Черкесской Республики (далее — территория 2).</w:t>
            </w:r>
          </w:p>
          <w:p w14:paraId="64534BA3"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Для выполнения данных работ подрядчику требуются актуальные топографические данные на территорию, на которую разрабатывается мастер-план.</w:t>
            </w:r>
          </w:p>
          <w:p w14:paraId="6A899A48"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Техническим заданием на выполнение работ в отношении территории 1 предусмотрено выполнение аэрофотосъемки (пункт 2.3.35 раздела V «Этапы и состав выполнения работ»). Выполнение аэрофотосъемки в отношении территории 2 техническим заданием не предусмотрено.</w:t>
            </w:r>
          </w:p>
          <w:p w14:paraId="3BF0B5D7"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 xml:space="preserve">Кроме того, в соответствии с разъяснениями заказчика от 25 августа 2023 г. «Актуальная топографическая съемка рассматриваемых территорий отсутствует и </w:t>
            </w:r>
            <w:r w:rsidRPr="002E3D9A">
              <w:rPr>
                <w:rFonts w:ascii="Times New Roman" w:eastAsia="Times New Roman" w:hAnsi="Times New Roman" w:cs="Times New Roman"/>
                <w:kern w:val="2"/>
                <w:sz w:val="24"/>
                <w:szCs w:val="24"/>
                <w:lang w:eastAsia="ru-RU"/>
              </w:rPr>
              <w:lastRenderedPageBreak/>
              <w:t>по условиям проекта договора не передается исполнителю в качестве исходных данных».</w:t>
            </w:r>
          </w:p>
          <w:p w14:paraId="7B9E609E"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Просим заказчика разъяснить:</w:t>
            </w:r>
          </w:p>
          <w:p w14:paraId="05ED87C3"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1)</w:t>
            </w:r>
            <w:r w:rsidRPr="002E3D9A">
              <w:rPr>
                <w:rFonts w:ascii="Times New Roman" w:eastAsia="Times New Roman" w:hAnsi="Times New Roman" w:cs="Times New Roman"/>
                <w:kern w:val="2"/>
                <w:sz w:val="24"/>
                <w:szCs w:val="24"/>
                <w:lang w:eastAsia="ru-RU"/>
              </w:rPr>
              <w:tab/>
              <w:t>чем обусловлено то, что в отношении территории 2 заказчиком актуальные данные в отношении территории не передаются, и в состав работ выполнение аэрофотосъемки территории не включено;</w:t>
            </w:r>
          </w:p>
          <w:p w14:paraId="5F25BD57" w14:textId="047DE8C9" w:rsidR="00E64A0D" w:rsidRPr="000E1A19"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2)</w:t>
            </w:r>
            <w:r w:rsidRPr="002E3D9A">
              <w:rPr>
                <w:rFonts w:ascii="Times New Roman" w:eastAsia="Times New Roman" w:hAnsi="Times New Roman" w:cs="Times New Roman"/>
                <w:kern w:val="2"/>
                <w:sz w:val="24"/>
                <w:szCs w:val="24"/>
                <w:lang w:eastAsia="ru-RU"/>
              </w:rPr>
              <w:tab/>
              <w:t>не является ли отсутствие в техническом задании указания на необходимость выполнения аэрофотосъемки в отношении территории 2 технической ошибкой.</w:t>
            </w:r>
          </w:p>
        </w:tc>
        <w:tc>
          <w:tcPr>
            <w:tcW w:w="5103" w:type="dxa"/>
            <w:shd w:val="clear" w:color="auto" w:fill="auto"/>
          </w:tcPr>
          <w:p w14:paraId="45DD8DB8" w14:textId="2AD94C4C" w:rsidR="00E64A0D" w:rsidRDefault="002E3D9A" w:rsidP="006E08E7">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sz w:val="24"/>
                <w:szCs w:val="24"/>
              </w:rPr>
            </w:pPr>
            <w:r w:rsidRPr="002E3D9A">
              <w:rPr>
                <w:rFonts w:ascii="Times New Roman" w:eastAsia="Calibri" w:hAnsi="Times New Roman" w:cs="Times New Roman"/>
                <w:sz w:val="24"/>
                <w:szCs w:val="24"/>
              </w:rPr>
              <w:lastRenderedPageBreak/>
              <w:t xml:space="preserve">Техническим заданием на разработку мастер-плана </w:t>
            </w:r>
            <w:proofErr w:type="spellStart"/>
            <w:r w:rsidRPr="002E3D9A">
              <w:rPr>
                <w:rFonts w:ascii="Times New Roman" w:eastAsia="Calibri" w:hAnsi="Times New Roman" w:cs="Times New Roman"/>
                <w:sz w:val="24"/>
                <w:szCs w:val="24"/>
              </w:rPr>
              <w:t>субкластера</w:t>
            </w:r>
            <w:proofErr w:type="spellEnd"/>
            <w:r w:rsidRPr="002E3D9A">
              <w:rPr>
                <w:rFonts w:ascii="Times New Roman" w:eastAsia="Calibri" w:hAnsi="Times New Roman" w:cs="Times New Roman"/>
                <w:sz w:val="24"/>
                <w:szCs w:val="24"/>
              </w:rPr>
              <w:t xml:space="preserve"> ВТРК «Архыз», с. Архыз и «Софийская Поляна» в </w:t>
            </w:r>
            <w:proofErr w:type="spellStart"/>
            <w:r w:rsidRPr="002E3D9A">
              <w:rPr>
                <w:rFonts w:ascii="Times New Roman" w:eastAsia="Calibri" w:hAnsi="Times New Roman" w:cs="Times New Roman"/>
                <w:sz w:val="24"/>
                <w:szCs w:val="24"/>
              </w:rPr>
              <w:t>Зеленчукском</w:t>
            </w:r>
            <w:proofErr w:type="spellEnd"/>
            <w:r w:rsidRPr="002E3D9A">
              <w:rPr>
                <w:rFonts w:ascii="Times New Roman" w:eastAsia="Calibri" w:hAnsi="Times New Roman" w:cs="Times New Roman"/>
                <w:sz w:val="24"/>
                <w:szCs w:val="24"/>
              </w:rPr>
              <w:t xml:space="preserve"> районе Карачаево-Черкесской Республике выполнение аэрофотосъе</w:t>
            </w:r>
            <w:r w:rsidR="005D7DE6">
              <w:rPr>
                <w:rFonts w:ascii="Times New Roman" w:eastAsia="Calibri" w:hAnsi="Times New Roman" w:cs="Times New Roman"/>
                <w:sz w:val="24"/>
                <w:szCs w:val="24"/>
              </w:rPr>
              <w:t>мки территории не предусмотрено</w:t>
            </w:r>
          </w:p>
        </w:tc>
      </w:tr>
      <w:tr w:rsidR="00BD5114" w:rsidRPr="007645CF" w14:paraId="432D52D0" w14:textId="77777777" w:rsidTr="00075C89">
        <w:trPr>
          <w:trHeight w:val="315"/>
        </w:trPr>
        <w:tc>
          <w:tcPr>
            <w:tcW w:w="618" w:type="dxa"/>
            <w:shd w:val="clear" w:color="auto" w:fill="auto"/>
            <w:vAlign w:val="center"/>
          </w:tcPr>
          <w:p w14:paraId="0B557511" w14:textId="5CCAC8E0" w:rsidR="00BD5114" w:rsidRDefault="00BD5114" w:rsidP="004D622B">
            <w:pPr>
              <w:spacing w:after="0" w:line="240" w:lineRule="auto"/>
              <w:contextualSpacing/>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3</w:t>
            </w:r>
          </w:p>
        </w:tc>
        <w:tc>
          <w:tcPr>
            <w:tcW w:w="4769" w:type="dxa"/>
            <w:shd w:val="clear" w:color="auto" w:fill="auto"/>
          </w:tcPr>
          <w:p w14:paraId="4A6F30F9"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 отношении предмета оценки по данному показателю в приложении № 3 к конкурсной документации (Критерии оценки заявок на участие в конкурсе, величины значимости этих критериев, порядок оценки заявок на участие в конкурсе) указано следующее: «Показатель определяется исходя из заявленных участником закупки сведений о 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высшего образования в области архитектуры и/или экономики и/или управления и/или географии».</w:t>
            </w:r>
          </w:p>
          <w:p w14:paraId="26B6A144"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Вместе с тем, не представляется возможным однозначно понять, какие именно специальности по образованию заказчик относит к «области архитектуры».</w:t>
            </w:r>
          </w:p>
          <w:p w14:paraId="47557B41" w14:textId="77777777" w:rsidR="002E3D9A" w:rsidRPr="002E3D9A"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 xml:space="preserve">В соответствии с ОК 009-2016 (действующий в настоящее время Общероссийский классификатор специальностей по образованию, принят и введен в действие Приказом </w:t>
            </w:r>
            <w:proofErr w:type="spellStart"/>
            <w:r w:rsidRPr="002E3D9A">
              <w:rPr>
                <w:rFonts w:ascii="Times New Roman" w:eastAsia="Times New Roman" w:hAnsi="Times New Roman" w:cs="Times New Roman"/>
                <w:kern w:val="2"/>
                <w:sz w:val="24"/>
                <w:szCs w:val="24"/>
                <w:lang w:eastAsia="ru-RU"/>
              </w:rPr>
              <w:t>Росстандарта</w:t>
            </w:r>
            <w:proofErr w:type="spellEnd"/>
            <w:r w:rsidRPr="002E3D9A">
              <w:rPr>
                <w:rFonts w:ascii="Times New Roman" w:eastAsia="Times New Roman" w:hAnsi="Times New Roman" w:cs="Times New Roman"/>
                <w:kern w:val="2"/>
                <w:sz w:val="24"/>
                <w:szCs w:val="24"/>
                <w:lang w:eastAsia="ru-RU"/>
              </w:rPr>
              <w:t xml:space="preserve"> от 08 декабря 2016 г. № 2007-ст), к разделу «Архитектура» (код 2.07.00.00) относятся специальности: архитектура, реконструкция и реставрация архитектурного наследия, дизайн архитектурной среды, градостроительство (городское строительство и хозяйство). </w:t>
            </w:r>
          </w:p>
          <w:p w14:paraId="6878CBBD" w14:textId="2FA6C1F1" w:rsidR="00BD5114" w:rsidRPr="000E1A19" w:rsidRDefault="002E3D9A" w:rsidP="002E3D9A">
            <w:pPr>
              <w:spacing w:after="0" w:line="240" w:lineRule="auto"/>
              <w:contextualSpacing/>
              <w:jc w:val="both"/>
              <w:rPr>
                <w:rFonts w:ascii="Times New Roman" w:eastAsia="Times New Roman" w:hAnsi="Times New Roman" w:cs="Times New Roman"/>
                <w:kern w:val="2"/>
                <w:sz w:val="24"/>
                <w:szCs w:val="24"/>
                <w:lang w:eastAsia="ru-RU"/>
              </w:rPr>
            </w:pPr>
            <w:r w:rsidRPr="002E3D9A">
              <w:rPr>
                <w:rFonts w:ascii="Times New Roman" w:eastAsia="Times New Roman" w:hAnsi="Times New Roman" w:cs="Times New Roman"/>
                <w:kern w:val="2"/>
                <w:sz w:val="24"/>
                <w:szCs w:val="24"/>
                <w:lang w:eastAsia="ru-RU"/>
              </w:rPr>
              <w:t>Просим заказчика предоставить разъяснения, правильно ли мы понимаем, что все указанные специальности будут приняты к оценке по данному показателю оценки?</w:t>
            </w:r>
          </w:p>
        </w:tc>
        <w:tc>
          <w:tcPr>
            <w:tcW w:w="5103" w:type="dxa"/>
            <w:shd w:val="clear" w:color="auto" w:fill="auto"/>
          </w:tcPr>
          <w:p w14:paraId="7D2D0532" w14:textId="6042CA69" w:rsidR="00BD5114" w:rsidRDefault="002E3D9A" w:rsidP="00F75254">
            <w:pPr>
              <w:widowControl w:val="0"/>
              <w:tabs>
                <w:tab w:val="left" w:pos="993"/>
              </w:tabs>
              <w:autoSpaceDE w:val="0"/>
              <w:autoSpaceDN w:val="0"/>
              <w:adjustRightInd w:val="0"/>
              <w:spacing w:after="0" w:line="240" w:lineRule="auto"/>
              <w:ind w:left="24" w:firstLine="10"/>
              <w:jc w:val="both"/>
              <w:rPr>
                <w:rFonts w:ascii="Times New Roman" w:eastAsia="Calibri" w:hAnsi="Times New Roman" w:cs="Times New Roman"/>
                <w:sz w:val="24"/>
                <w:szCs w:val="24"/>
              </w:rPr>
            </w:pPr>
            <w:r w:rsidRPr="002E3D9A">
              <w:rPr>
                <w:rFonts w:ascii="Times New Roman" w:eastAsia="Calibri" w:hAnsi="Times New Roman" w:cs="Times New Roman"/>
                <w:sz w:val="24"/>
                <w:szCs w:val="24"/>
              </w:rPr>
              <w:t xml:space="preserve">При оценке по показателю «Квалификация трудовых ресурсов» критерия оценки «Квалификация, опыт, репутация участников закупки» все указанные в ОК 009-2016. Общероссийский классификатор специальностей по образованию (принят и введен в действие Приказом </w:t>
            </w:r>
            <w:proofErr w:type="spellStart"/>
            <w:r w:rsidRPr="002E3D9A">
              <w:rPr>
                <w:rFonts w:ascii="Times New Roman" w:eastAsia="Calibri" w:hAnsi="Times New Roman" w:cs="Times New Roman"/>
                <w:sz w:val="24"/>
                <w:szCs w:val="24"/>
              </w:rPr>
              <w:t>Росстандарта</w:t>
            </w:r>
            <w:proofErr w:type="spellEnd"/>
            <w:r w:rsidRPr="002E3D9A">
              <w:rPr>
                <w:rFonts w:ascii="Times New Roman" w:eastAsia="Calibri" w:hAnsi="Times New Roman" w:cs="Times New Roman"/>
                <w:sz w:val="24"/>
                <w:szCs w:val="24"/>
              </w:rPr>
              <w:t xml:space="preserve"> от 08.12.2016 N 2007-ст) в разделе «Архитектура» (код 2.07.00.00) специальности будут приняты к оценке по данному показателю оценки</w:t>
            </w:r>
          </w:p>
        </w:tc>
      </w:tr>
    </w:tbl>
    <w:p w14:paraId="265605DF" w14:textId="358AC45F" w:rsidR="0003172B" w:rsidRPr="007645CF" w:rsidRDefault="0003172B" w:rsidP="0005523B">
      <w:pPr>
        <w:tabs>
          <w:tab w:val="left" w:pos="-1418"/>
          <w:tab w:val="left" w:pos="-851"/>
          <w:tab w:val="left" w:pos="142"/>
        </w:tabs>
        <w:spacing w:after="0" w:line="240" w:lineRule="auto"/>
        <w:rPr>
          <w:rFonts w:ascii="Times New Roman" w:hAnsi="Times New Roman" w:cs="Times New Roman"/>
          <w:sz w:val="24"/>
          <w:szCs w:val="24"/>
        </w:rPr>
      </w:pPr>
    </w:p>
    <w:sectPr w:rsidR="0003172B" w:rsidRPr="007645CF" w:rsidSect="00B01E55">
      <w:footerReference w:type="default" r:id="rId9"/>
      <w:pgSz w:w="11906" w:h="16838" w:code="9"/>
      <w:pgMar w:top="709" w:right="566" w:bottom="426" w:left="1134"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65F40" w14:textId="77777777" w:rsidR="00163EF6" w:rsidRDefault="00163EF6" w:rsidP="00730D34">
      <w:pPr>
        <w:spacing w:after="0" w:line="240" w:lineRule="auto"/>
      </w:pPr>
      <w:r>
        <w:separator/>
      </w:r>
    </w:p>
  </w:endnote>
  <w:endnote w:type="continuationSeparator" w:id="0">
    <w:p w14:paraId="70A42F78" w14:textId="77777777" w:rsidR="00163EF6" w:rsidRDefault="00163EF6"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6A35" w14:textId="77777777" w:rsidR="009E5148" w:rsidRPr="00654108" w:rsidRDefault="009E5148" w:rsidP="006541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DE013" w14:textId="77777777" w:rsidR="00163EF6" w:rsidRDefault="00163EF6" w:rsidP="00730D34">
      <w:pPr>
        <w:spacing w:after="0" w:line="240" w:lineRule="auto"/>
      </w:pPr>
      <w:r>
        <w:separator/>
      </w:r>
    </w:p>
  </w:footnote>
  <w:footnote w:type="continuationSeparator" w:id="0">
    <w:p w14:paraId="7FAE1B28" w14:textId="77777777" w:rsidR="00163EF6" w:rsidRDefault="00163EF6" w:rsidP="00730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962F16"/>
    <w:multiLevelType w:val="multilevel"/>
    <w:tmpl w:val="C52E28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2"/>
  </w:num>
  <w:num w:numId="7">
    <w:abstractNumId w:val="7"/>
  </w:num>
  <w:num w:numId="8">
    <w:abstractNumId w:val="9"/>
  </w:num>
  <w:num w:numId="9">
    <w:abstractNumId w:val="4"/>
  </w:num>
  <w:num w:numId="10">
    <w:abstractNumId w:val="12"/>
  </w:num>
  <w:num w:numId="11">
    <w:abstractNumId w:val="13"/>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5894"/>
    <w:rsid w:val="00026612"/>
    <w:rsid w:val="00030B03"/>
    <w:rsid w:val="0003172B"/>
    <w:rsid w:val="00032539"/>
    <w:rsid w:val="000417AF"/>
    <w:rsid w:val="00046972"/>
    <w:rsid w:val="000474F9"/>
    <w:rsid w:val="0005523B"/>
    <w:rsid w:val="00075C89"/>
    <w:rsid w:val="00076AB9"/>
    <w:rsid w:val="0008057D"/>
    <w:rsid w:val="00092974"/>
    <w:rsid w:val="000B56A9"/>
    <w:rsid w:val="000E1A19"/>
    <w:rsid w:val="000E3609"/>
    <w:rsid w:val="000E70FF"/>
    <w:rsid w:val="000F4CE5"/>
    <w:rsid w:val="0011275B"/>
    <w:rsid w:val="00116CC7"/>
    <w:rsid w:val="00124209"/>
    <w:rsid w:val="00126D56"/>
    <w:rsid w:val="00127E9C"/>
    <w:rsid w:val="0013180C"/>
    <w:rsid w:val="00131F34"/>
    <w:rsid w:val="00133E23"/>
    <w:rsid w:val="0013420F"/>
    <w:rsid w:val="00163EF6"/>
    <w:rsid w:val="00173125"/>
    <w:rsid w:val="00180B81"/>
    <w:rsid w:val="00181F4F"/>
    <w:rsid w:val="001B7F90"/>
    <w:rsid w:val="001E1ABD"/>
    <w:rsid w:val="002015F8"/>
    <w:rsid w:val="00202FF8"/>
    <w:rsid w:val="00204BC6"/>
    <w:rsid w:val="002107D9"/>
    <w:rsid w:val="002315BD"/>
    <w:rsid w:val="00233B98"/>
    <w:rsid w:val="00240BC4"/>
    <w:rsid w:val="00250768"/>
    <w:rsid w:val="0027288D"/>
    <w:rsid w:val="00276827"/>
    <w:rsid w:val="0027686E"/>
    <w:rsid w:val="0027720B"/>
    <w:rsid w:val="002903C8"/>
    <w:rsid w:val="00292133"/>
    <w:rsid w:val="00293C19"/>
    <w:rsid w:val="002A05E2"/>
    <w:rsid w:val="002A2F68"/>
    <w:rsid w:val="002B71A6"/>
    <w:rsid w:val="002D4220"/>
    <w:rsid w:val="002E3D9A"/>
    <w:rsid w:val="002E4BA3"/>
    <w:rsid w:val="002F1A67"/>
    <w:rsid w:val="00316E19"/>
    <w:rsid w:val="003173FA"/>
    <w:rsid w:val="00322E41"/>
    <w:rsid w:val="003258A0"/>
    <w:rsid w:val="003371D1"/>
    <w:rsid w:val="00337217"/>
    <w:rsid w:val="00341DBD"/>
    <w:rsid w:val="003443A4"/>
    <w:rsid w:val="00345BC8"/>
    <w:rsid w:val="0035210B"/>
    <w:rsid w:val="003528F3"/>
    <w:rsid w:val="00373230"/>
    <w:rsid w:val="00375497"/>
    <w:rsid w:val="003777B5"/>
    <w:rsid w:val="003777E1"/>
    <w:rsid w:val="0038669F"/>
    <w:rsid w:val="003876E2"/>
    <w:rsid w:val="003949B6"/>
    <w:rsid w:val="00395D68"/>
    <w:rsid w:val="003A2528"/>
    <w:rsid w:val="003A4326"/>
    <w:rsid w:val="003A5D0D"/>
    <w:rsid w:val="003B0D31"/>
    <w:rsid w:val="003B2DDE"/>
    <w:rsid w:val="003B5B87"/>
    <w:rsid w:val="003C32B8"/>
    <w:rsid w:val="003D40A0"/>
    <w:rsid w:val="003E1A6E"/>
    <w:rsid w:val="003E47C8"/>
    <w:rsid w:val="003E4E9B"/>
    <w:rsid w:val="00403ECC"/>
    <w:rsid w:val="00405060"/>
    <w:rsid w:val="0040657E"/>
    <w:rsid w:val="00415D50"/>
    <w:rsid w:val="004170ED"/>
    <w:rsid w:val="0042156B"/>
    <w:rsid w:val="0042156F"/>
    <w:rsid w:val="00422D0D"/>
    <w:rsid w:val="00422FE6"/>
    <w:rsid w:val="00430184"/>
    <w:rsid w:val="00437213"/>
    <w:rsid w:val="00454B2A"/>
    <w:rsid w:val="0045690B"/>
    <w:rsid w:val="00466F84"/>
    <w:rsid w:val="00467534"/>
    <w:rsid w:val="004714D2"/>
    <w:rsid w:val="004750AC"/>
    <w:rsid w:val="00480D1D"/>
    <w:rsid w:val="00491E48"/>
    <w:rsid w:val="00496E0B"/>
    <w:rsid w:val="00496F64"/>
    <w:rsid w:val="004A10F5"/>
    <w:rsid w:val="004B7BF7"/>
    <w:rsid w:val="004C52B0"/>
    <w:rsid w:val="004D44BB"/>
    <w:rsid w:val="004D622B"/>
    <w:rsid w:val="004D6B81"/>
    <w:rsid w:val="004D7DE2"/>
    <w:rsid w:val="004D7F18"/>
    <w:rsid w:val="004E01F6"/>
    <w:rsid w:val="004F5761"/>
    <w:rsid w:val="00517912"/>
    <w:rsid w:val="00534F3C"/>
    <w:rsid w:val="0054475B"/>
    <w:rsid w:val="00551112"/>
    <w:rsid w:val="00556D66"/>
    <w:rsid w:val="00564ADE"/>
    <w:rsid w:val="00566EB5"/>
    <w:rsid w:val="00571FC2"/>
    <w:rsid w:val="0058046D"/>
    <w:rsid w:val="005816A1"/>
    <w:rsid w:val="00586B1C"/>
    <w:rsid w:val="005946B3"/>
    <w:rsid w:val="005953FB"/>
    <w:rsid w:val="005A44A7"/>
    <w:rsid w:val="005B674B"/>
    <w:rsid w:val="005C5150"/>
    <w:rsid w:val="005D0401"/>
    <w:rsid w:val="005D7DE6"/>
    <w:rsid w:val="005E3ACA"/>
    <w:rsid w:val="0060283F"/>
    <w:rsid w:val="0060559A"/>
    <w:rsid w:val="00613C16"/>
    <w:rsid w:val="00614A8F"/>
    <w:rsid w:val="006258F1"/>
    <w:rsid w:val="0063270F"/>
    <w:rsid w:val="00640DBC"/>
    <w:rsid w:val="00640FEA"/>
    <w:rsid w:val="00646C79"/>
    <w:rsid w:val="00654108"/>
    <w:rsid w:val="0067029D"/>
    <w:rsid w:val="006725CA"/>
    <w:rsid w:val="00681232"/>
    <w:rsid w:val="00691DB2"/>
    <w:rsid w:val="006929DF"/>
    <w:rsid w:val="00693998"/>
    <w:rsid w:val="006944B2"/>
    <w:rsid w:val="006A056B"/>
    <w:rsid w:val="006A0FBC"/>
    <w:rsid w:val="006A61A9"/>
    <w:rsid w:val="006B4FF9"/>
    <w:rsid w:val="006C0549"/>
    <w:rsid w:val="006C1186"/>
    <w:rsid w:val="006C12E4"/>
    <w:rsid w:val="006D7E5F"/>
    <w:rsid w:val="006E08E7"/>
    <w:rsid w:val="006E415A"/>
    <w:rsid w:val="00705874"/>
    <w:rsid w:val="00716A45"/>
    <w:rsid w:val="00717082"/>
    <w:rsid w:val="00724A6E"/>
    <w:rsid w:val="00730D34"/>
    <w:rsid w:val="00733AA2"/>
    <w:rsid w:val="00734074"/>
    <w:rsid w:val="007401E9"/>
    <w:rsid w:val="00742462"/>
    <w:rsid w:val="00746F4C"/>
    <w:rsid w:val="007501CC"/>
    <w:rsid w:val="00756C1F"/>
    <w:rsid w:val="00757BFF"/>
    <w:rsid w:val="007645CF"/>
    <w:rsid w:val="00786846"/>
    <w:rsid w:val="00795ED1"/>
    <w:rsid w:val="007B319C"/>
    <w:rsid w:val="007C2C5D"/>
    <w:rsid w:val="007D18B7"/>
    <w:rsid w:val="007E326A"/>
    <w:rsid w:val="007E32DD"/>
    <w:rsid w:val="007F65F2"/>
    <w:rsid w:val="00803156"/>
    <w:rsid w:val="008105E2"/>
    <w:rsid w:val="00813747"/>
    <w:rsid w:val="00814AE0"/>
    <w:rsid w:val="00816BA8"/>
    <w:rsid w:val="00823FAE"/>
    <w:rsid w:val="00824976"/>
    <w:rsid w:val="008305CF"/>
    <w:rsid w:val="00840AAC"/>
    <w:rsid w:val="0084606A"/>
    <w:rsid w:val="00846C54"/>
    <w:rsid w:val="008515F9"/>
    <w:rsid w:val="0085393D"/>
    <w:rsid w:val="00863318"/>
    <w:rsid w:val="00865C38"/>
    <w:rsid w:val="008744C5"/>
    <w:rsid w:val="00877384"/>
    <w:rsid w:val="00885BF4"/>
    <w:rsid w:val="008922E1"/>
    <w:rsid w:val="008A46FE"/>
    <w:rsid w:val="008B06A3"/>
    <w:rsid w:val="008B500A"/>
    <w:rsid w:val="008B5573"/>
    <w:rsid w:val="008C0944"/>
    <w:rsid w:val="008C2092"/>
    <w:rsid w:val="008C69C3"/>
    <w:rsid w:val="008D70B4"/>
    <w:rsid w:val="008E3162"/>
    <w:rsid w:val="008E4D7B"/>
    <w:rsid w:val="008F08FE"/>
    <w:rsid w:val="008F64A6"/>
    <w:rsid w:val="009041C8"/>
    <w:rsid w:val="00910325"/>
    <w:rsid w:val="00914A6D"/>
    <w:rsid w:val="00914D78"/>
    <w:rsid w:val="00921105"/>
    <w:rsid w:val="00930F09"/>
    <w:rsid w:val="0094296D"/>
    <w:rsid w:val="00943BF3"/>
    <w:rsid w:val="00944315"/>
    <w:rsid w:val="009728FD"/>
    <w:rsid w:val="00986173"/>
    <w:rsid w:val="00996262"/>
    <w:rsid w:val="00997F6F"/>
    <w:rsid w:val="009A05B6"/>
    <w:rsid w:val="009A517E"/>
    <w:rsid w:val="009A567E"/>
    <w:rsid w:val="009B5FC6"/>
    <w:rsid w:val="009C7369"/>
    <w:rsid w:val="009C782A"/>
    <w:rsid w:val="009D502E"/>
    <w:rsid w:val="009E5148"/>
    <w:rsid w:val="009E6164"/>
    <w:rsid w:val="009F04E7"/>
    <w:rsid w:val="009F6E40"/>
    <w:rsid w:val="00A0479C"/>
    <w:rsid w:val="00A12699"/>
    <w:rsid w:val="00A21581"/>
    <w:rsid w:val="00A221DB"/>
    <w:rsid w:val="00A32F55"/>
    <w:rsid w:val="00A54561"/>
    <w:rsid w:val="00A6243C"/>
    <w:rsid w:val="00A70FC2"/>
    <w:rsid w:val="00A76831"/>
    <w:rsid w:val="00A8310E"/>
    <w:rsid w:val="00A831C8"/>
    <w:rsid w:val="00A9568B"/>
    <w:rsid w:val="00A965D7"/>
    <w:rsid w:val="00A9709F"/>
    <w:rsid w:val="00A97573"/>
    <w:rsid w:val="00AA0708"/>
    <w:rsid w:val="00AA769D"/>
    <w:rsid w:val="00AC02C0"/>
    <w:rsid w:val="00AD0CC6"/>
    <w:rsid w:val="00AD1D26"/>
    <w:rsid w:val="00AD1FC3"/>
    <w:rsid w:val="00AE2022"/>
    <w:rsid w:val="00AE2857"/>
    <w:rsid w:val="00AE3D30"/>
    <w:rsid w:val="00B01E55"/>
    <w:rsid w:val="00B14F39"/>
    <w:rsid w:val="00B34246"/>
    <w:rsid w:val="00B36818"/>
    <w:rsid w:val="00B37E99"/>
    <w:rsid w:val="00B468B9"/>
    <w:rsid w:val="00B52C69"/>
    <w:rsid w:val="00B53658"/>
    <w:rsid w:val="00B53A28"/>
    <w:rsid w:val="00B56AEE"/>
    <w:rsid w:val="00B62DF6"/>
    <w:rsid w:val="00B67DE7"/>
    <w:rsid w:val="00B71225"/>
    <w:rsid w:val="00B71F89"/>
    <w:rsid w:val="00B8074B"/>
    <w:rsid w:val="00B9584A"/>
    <w:rsid w:val="00B959FF"/>
    <w:rsid w:val="00BA24D1"/>
    <w:rsid w:val="00BA54C5"/>
    <w:rsid w:val="00BA7D19"/>
    <w:rsid w:val="00BB083C"/>
    <w:rsid w:val="00BB0AFE"/>
    <w:rsid w:val="00BB5171"/>
    <w:rsid w:val="00BB6767"/>
    <w:rsid w:val="00BB704D"/>
    <w:rsid w:val="00BC19E8"/>
    <w:rsid w:val="00BC2023"/>
    <w:rsid w:val="00BC20F0"/>
    <w:rsid w:val="00BC3084"/>
    <w:rsid w:val="00BC7F6E"/>
    <w:rsid w:val="00BD5114"/>
    <w:rsid w:val="00BE10E2"/>
    <w:rsid w:val="00BE37C0"/>
    <w:rsid w:val="00BE5F3C"/>
    <w:rsid w:val="00BF667B"/>
    <w:rsid w:val="00C072E1"/>
    <w:rsid w:val="00C25A2F"/>
    <w:rsid w:val="00C27B40"/>
    <w:rsid w:val="00C27C80"/>
    <w:rsid w:val="00C33754"/>
    <w:rsid w:val="00C33C9F"/>
    <w:rsid w:val="00C41990"/>
    <w:rsid w:val="00C55955"/>
    <w:rsid w:val="00C57CC1"/>
    <w:rsid w:val="00C57D44"/>
    <w:rsid w:val="00C62881"/>
    <w:rsid w:val="00C62B6C"/>
    <w:rsid w:val="00C77948"/>
    <w:rsid w:val="00C80A92"/>
    <w:rsid w:val="00C915EE"/>
    <w:rsid w:val="00C94248"/>
    <w:rsid w:val="00C95AEB"/>
    <w:rsid w:val="00CA1F3C"/>
    <w:rsid w:val="00CA59F7"/>
    <w:rsid w:val="00CA6C41"/>
    <w:rsid w:val="00CD1B04"/>
    <w:rsid w:val="00CE7998"/>
    <w:rsid w:val="00CF66B2"/>
    <w:rsid w:val="00D02983"/>
    <w:rsid w:val="00D1162D"/>
    <w:rsid w:val="00D1724E"/>
    <w:rsid w:val="00D3120B"/>
    <w:rsid w:val="00D32755"/>
    <w:rsid w:val="00D357C5"/>
    <w:rsid w:val="00D439F2"/>
    <w:rsid w:val="00D57226"/>
    <w:rsid w:val="00D742D7"/>
    <w:rsid w:val="00D77A72"/>
    <w:rsid w:val="00D8145B"/>
    <w:rsid w:val="00D82FA1"/>
    <w:rsid w:val="00D95AD5"/>
    <w:rsid w:val="00D97842"/>
    <w:rsid w:val="00DA365C"/>
    <w:rsid w:val="00DB19F0"/>
    <w:rsid w:val="00DB3B2E"/>
    <w:rsid w:val="00DB5D26"/>
    <w:rsid w:val="00DC3C1D"/>
    <w:rsid w:val="00DC3FBA"/>
    <w:rsid w:val="00DD19AA"/>
    <w:rsid w:val="00DE5797"/>
    <w:rsid w:val="00DF2F07"/>
    <w:rsid w:val="00E03C3B"/>
    <w:rsid w:val="00E05D00"/>
    <w:rsid w:val="00E13607"/>
    <w:rsid w:val="00E17413"/>
    <w:rsid w:val="00E3076B"/>
    <w:rsid w:val="00E318C0"/>
    <w:rsid w:val="00E318D6"/>
    <w:rsid w:val="00E40A69"/>
    <w:rsid w:val="00E4126E"/>
    <w:rsid w:val="00E41799"/>
    <w:rsid w:val="00E63669"/>
    <w:rsid w:val="00E647A0"/>
    <w:rsid w:val="00E64A0D"/>
    <w:rsid w:val="00E65A65"/>
    <w:rsid w:val="00E741B4"/>
    <w:rsid w:val="00E7467A"/>
    <w:rsid w:val="00E84C01"/>
    <w:rsid w:val="00E90983"/>
    <w:rsid w:val="00E92B86"/>
    <w:rsid w:val="00EA3F04"/>
    <w:rsid w:val="00EA5838"/>
    <w:rsid w:val="00EB1F47"/>
    <w:rsid w:val="00EC05EA"/>
    <w:rsid w:val="00EC5B95"/>
    <w:rsid w:val="00EC6F52"/>
    <w:rsid w:val="00ED3159"/>
    <w:rsid w:val="00ED52CD"/>
    <w:rsid w:val="00EE5AE9"/>
    <w:rsid w:val="00F0429E"/>
    <w:rsid w:val="00F16A6C"/>
    <w:rsid w:val="00F22240"/>
    <w:rsid w:val="00F3507F"/>
    <w:rsid w:val="00F413E6"/>
    <w:rsid w:val="00F56AAA"/>
    <w:rsid w:val="00F61611"/>
    <w:rsid w:val="00F61FB6"/>
    <w:rsid w:val="00F75254"/>
    <w:rsid w:val="00F81996"/>
    <w:rsid w:val="00F96939"/>
    <w:rsid w:val="00F97129"/>
    <w:rsid w:val="00F97F99"/>
    <w:rsid w:val="00FA046A"/>
    <w:rsid w:val="00FA56AC"/>
    <w:rsid w:val="00FB0EED"/>
    <w:rsid w:val="00FB6304"/>
    <w:rsid w:val="00FC1376"/>
    <w:rsid w:val="00FC5F95"/>
    <w:rsid w:val="00FD01F6"/>
    <w:rsid w:val="00FD2164"/>
    <w:rsid w:val="00FE21FF"/>
    <w:rsid w:val="00FE286B"/>
    <w:rsid w:val="00FF1635"/>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11A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3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17912"/>
    <w:rPr>
      <w:sz w:val="16"/>
      <w:szCs w:val="16"/>
    </w:rPr>
  </w:style>
  <w:style w:type="paragraph" w:styleId="ad">
    <w:name w:val="annotation text"/>
    <w:basedOn w:val="a"/>
    <w:link w:val="ae"/>
    <w:uiPriority w:val="99"/>
    <w:semiHidden/>
    <w:unhideWhenUsed/>
    <w:rsid w:val="00517912"/>
    <w:pPr>
      <w:spacing w:line="240" w:lineRule="auto"/>
    </w:pPr>
    <w:rPr>
      <w:sz w:val="20"/>
      <w:szCs w:val="20"/>
    </w:rPr>
  </w:style>
  <w:style w:type="character" w:customStyle="1" w:styleId="ae">
    <w:name w:val="Текст примечания Знак"/>
    <w:basedOn w:val="a0"/>
    <w:link w:val="ad"/>
    <w:uiPriority w:val="99"/>
    <w:semiHidden/>
    <w:rsid w:val="00517912"/>
    <w:rPr>
      <w:sz w:val="20"/>
      <w:szCs w:val="20"/>
    </w:rPr>
  </w:style>
  <w:style w:type="paragraph" w:styleId="af">
    <w:name w:val="annotation subject"/>
    <w:basedOn w:val="ad"/>
    <w:next w:val="ad"/>
    <w:link w:val="af0"/>
    <w:uiPriority w:val="99"/>
    <w:semiHidden/>
    <w:unhideWhenUsed/>
    <w:rsid w:val="00517912"/>
    <w:rPr>
      <w:b/>
      <w:bCs/>
    </w:rPr>
  </w:style>
  <w:style w:type="character" w:customStyle="1" w:styleId="af0">
    <w:name w:val="Тема примечания Знак"/>
    <w:basedOn w:val="ae"/>
    <w:link w:val="af"/>
    <w:uiPriority w:val="99"/>
    <w:semiHidden/>
    <w:rsid w:val="005179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3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17912"/>
    <w:rPr>
      <w:sz w:val="16"/>
      <w:szCs w:val="16"/>
    </w:rPr>
  </w:style>
  <w:style w:type="paragraph" w:styleId="ad">
    <w:name w:val="annotation text"/>
    <w:basedOn w:val="a"/>
    <w:link w:val="ae"/>
    <w:uiPriority w:val="99"/>
    <w:semiHidden/>
    <w:unhideWhenUsed/>
    <w:rsid w:val="00517912"/>
    <w:pPr>
      <w:spacing w:line="240" w:lineRule="auto"/>
    </w:pPr>
    <w:rPr>
      <w:sz w:val="20"/>
      <w:szCs w:val="20"/>
    </w:rPr>
  </w:style>
  <w:style w:type="character" w:customStyle="1" w:styleId="ae">
    <w:name w:val="Текст примечания Знак"/>
    <w:basedOn w:val="a0"/>
    <w:link w:val="ad"/>
    <w:uiPriority w:val="99"/>
    <w:semiHidden/>
    <w:rsid w:val="00517912"/>
    <w:rPr>
      <w:sz w:val="20"/>
      <w:szCs w:val="20"/>
    </w:rPr>
  </w:style>
  <w:style w:type="paragraph" w:styleId="af">
    <w:name w:val="annotation subject"/>
    <w:basedOn w:val="ad"/>
    <w:next w:val="ad"/>
    <w:link w:val="af0"/>
    <w:uiPriority w:val="99"/>
    <w:semiHidden/>
    <w:unhideWhenUsed/>
    <w:rsid w:val="00517912"/>
    <w:rPr>
      <w:b/>
      <w:bCs/>
    </w:rPr>
  </w:style>
  <w:style w:type="character" w:customStyle="1" w:styleId="af0">
    <w:name w:val="Тема примечания Знак"/>
    <w:basedOn w:val="ae"/>
    <w:link w:val="af"/>
    <w:uiPriority w:val="99"/>
    <w:semiHidden/>
    <w:rsid w:val="00517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549342000">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1B62-D41C-4946-9C4A-97D21DF0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Бутов Константин Николаевич</cp:lastModifiedBy>
  <cp:revision>7</cp:revision>
  <cp:lastPrinted>2019-12-20T07:37:00Z</cp:lastPrinted>
  <dcterms:created xsi:type="dcterms:W3CDTF">2023-08-31T14:50:00Z</dcterms:created>
  <dcterms:modified xsi:type="dcterms:W3CDTF">2023-09-04T15:00:00Z</dcterms:modified>
</cp:coreProperties>
</file>