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203644">
        <w:rPr>
          <w:b/>
          <w:sz w:val="28"/>
          <w:szCs w:val="28"/>
        </w:rPr>
        <w:t>2</w:t>
      </w:r>
      <w:r w:rsidR="005F3AC2">
        <w:rPr>
          <w:b/>
          <w:sz w:val="28"/>
          <w:szCs w:val="28"/>
        </w:rPr>
        <w:t>5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D8768A">
        <w:rPr>
          <w:b/>
          <w:sz w:val="28"/>
          <w:szCs w:val="28"/>
        </w:rPr>
        <w:t>8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900006" w:rsidTr="00D8768A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580334" w:rsidRDefault="00580334" w:rsidP="00F56E1B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прокомментировать формулировку пункт</w:t>
            </w:r>
            <w:r w:rsidR="00F56E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ов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5.1</w:t>
            </w:r>
            <w:r w:rsidR="00F56E1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9.1 и 9.2.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3A2E8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проекта договора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касательно передачи исключительных прав на выполненные услуги. </w:t>
            </w:r>
          </w:p>
        </w:tc>
        <w:tc>
          <w:tcPr>
            <w:tcW w:w="6096" w:type="dxa"/>
            <w:shd w:val="clear" w:color="auto" w:fill="auto"/>
          </w:tcPr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 xml:space="preserve">Предметом аукциона является заключение договора на оказание  услуг 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по внедрению, гарант</w:t>
            </w:r>
            <w:bookmarkStart w:id="0" w:name="_GoBack"/>
            <w:bookmarkEnd w:id="0"/>
            <w:r w:rsidRPr="00F757C1">
              <w:rPr>
                <w:rFonts w:eastAsia="Calibri"/>
              </w:rPr>
              <w:t xml:space="preserve">ийному и техническому обслуживанию системы корпоративного электронного документооборота (СКЭД).  Порядок исполнения договора (создание системы "с нуля", внедрение имеющейся системы или иной порядок) не определен в закупочной документации и может быть любым, но не противоречащим условиям Документации об аукционе. Исключительные права передаются заказчику только на результаты услуг, выполненных по Договору.  Исключительные права на программные средства, программное обеспечение и иные объекты интеллектуальной собственности, использованные при оказании услуг по договору, сохраняются за их правообладателями. 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Согласно статье 1229 Гражданского кодекса исключительное право на результат интеллектуальной деятельности или на средство индивидуализации может принадлежать одному лицу или нескольким лицам совместно.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Взаимоотношения лиц, которым исключительное право принадлежит совместно, определяются соглашением между ними.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Согласно статье 1234 Гражданского кодекса по договору об отчуждении исключительного права одна сторона (правообладатель) передает принадлежащее ей исключительное право на результат интеллектуальной деятельности другой стороне (приобретателю).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Договор об отчуждении исключительного права заключается в письменной форме. Несоблюдение письменной формы влечет недействительность договора.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По договору об отчуждении исключительного права приобретатель обязуется уплатить правообладателю предусмотренное договором вознаграждение, если договором не предусмотрено иное.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 xml:space="preserve">При отсутствии в возмездном договоре об </w:t>
            </w:r>
            <w:r w:rsidRPr="00F757C1">
              <w:rPr>
                <w:rFonts w:eastAsia="Calibri"/>
              </w:rPr>
              <w:lastRenderedPageBreak/>
              <w:t>отчуждении исключительного права условия о размере вознаграждения или порядке его определения договор считается незаключенным.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платежей, процентных отчислений от дохода (выручки) либо в иной форме.</w:t>
            </w:r>
          </w:p>
          <w:p w:rsidR="00F757C1" w:rsidRPr="00F757C1" w:rsidRDefault="00F757C1" w:rsidP="00F757C1">
            <w:pPr>
              <w:pStyle w:val="ConsPlusNormal"/>
              <w:ind w:firstLine="540"/>
              <w:jc w:val="both"/>
              <w:rPr>
                <w:rFonts w:eastAsia="Calibri"/>
              </w:rPr>
            </w:pPr>
            <w:r w:rsidRPr="00F757C1">
              <w:rPr>
                <w:rFonts w:eastAsia="Calibri"/>
              </w:rPr>
              <w:t>Не допускается безвозмездное отчуждение исключительного права в отношениях между коммерческими организациями.</w:t>
            </w:r>
          </w:p>
          <w:p w:rsidR="00F72B29" w:rsidRPr="0002303E" w:rsidRDefault="00F757C1" w:rsidP="00F757C1">
            <w:pPr>
              <w:pStyle w:val="ConsPlusNormal"/>
              <w:ind w:firstLine="540"/>
              <w:jc w:val="both"/>
            </w:pPr>
            <w:r w:rsidRPr="00F757C1">
              <w:rPr>
                <w:rFonts w:eastAsia="Calibri"/>
              </w:rPr>
              <w:t>Проект договора носит смешанный характер, включая элементы договора оказания услуг и договора об отчуждении исключительного права.</w:t>
            </w:r>
          </w:p>
        </w:tc>
      </w:tr>
      <w:tr w:rsidR="00976FF8" w:rsidRPr="00900006" w:rsidTr="00D8768A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976FF8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976FF8" w:rsidRPr="00BF512F" w:rsidRDefault="00F72B29" w:rsidP="000E509B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</w:t>
            </w:r>
            <w:r w:rsid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ояснить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формулировку пункт</w:t>
            </w:r>
            <w:r w:rsid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4.1.7 т</w:t>
            </w:r>
            <w:r w:rsidR="000E509B"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ехнического задания «Требования к защите информации от несанкционированного доступа»</w:t>
            </w:r>
            <w:r w:rsid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976FF8" w:rsidRPr="000E509B" w:rsidRDefault="00F72B29" w:rsidP="00F757C1">
            <w:pPr>
              <w:pStyle w:val="ConsPlusNormal"/>
              <w:ind w:firstLine="540"/>
              <w:jc w:val="both"/>
            </w:pPr>
            <w:r w:rsidRPr="00F72B29">
              <w:t>П</w:t>
            </w:r>
            <w:r>
              <w:t>ункт</w:t>
            </w:r>
            <w:r w:rsidR="000E509B">
              <w:t xml:space="preserve"> 4.1.7 т</w:t>
            </w:r>
            <w:r w:rsidRPr="00F72B29">
              <w:t>ехнического задания «Требования к защите информации от несанкционированного доступа» не содержит указания на какой-либо программный продукт. Требований к максимальному перечню допустимых работ при встраивании комплекса программно-технических сре</w:t>
            </w:r>
            <w:proofErr w:type="gramStart"/>
            <w:r w:rsidRPr="00F72B29">
              <w:t>дств в с</w:t>
            </w:r>
            <w:proofErr w:type="gramEnd"/>
            <w:r w:rsidRPr="00F72B29">
              <w:t>истему документ не содержит.</w:t>
            </w:r>
          </w:p>
        </w:tc>
      </w:tr>
      <w:tr w:rsidR="003923B5" w:rsidRPr="00900006" w:rsidTr="00D8768A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3923B5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923B5" w:rsidRDefault="00501F46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прокомментировать или внести изменения в формулировку пункта 9.1 проекта договора касательно передачи исключительных прав на выполненные услуги.</w:t>
            </w:r>
          </w:p>
        </w:tc>
        <w:tc>
          <w:tcPr>
            <w:tcW w:w="6096" w:type="dxa"/>
            <w:shd w:val="clear" w:color="auto" w:fill="auto"/>
          </w:tcPr>
          <w:p w:rsidR="003923B5" w:rsidRPr="008E6B5D" w:rsidRDefault="00F757C1" w:rsidP="008E6B5D">
            <w:pPr>
              <w:pStyle w:val="ConsPlusNormal"/>
              <w:ind w:firstLine="540"/>
              <w:jc w:val="both"/>
            </w:pPr>
            <w:r w:rsidRPr="00F757C1">
              <w:rPr>
                <w:color w:val="000000"/>
              </w:rPr>
              <w:t>В приложении F технического проекта должны быть отражены настройки связей с внешними информационными системами, в т. ч. и описание создания ссылок на объекты других информационных систем. Ссылка - объект, который лишь указывает на место хранения данных, но сам по себе данных не содержит.</w:t>
            </w:r>
          </w:p>
        </w:tc>
      </w:tr>
      <w:tr w:rsidR="003923B5" w:rsidRPr="00900006" w:rsidTr="00D8768A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3923B5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923B5" w:rsidRDefault="000E509B" w:rsidP="000E509B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пояснить формулировку пункта 4.2.1.5.2 т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ехнического задания «Требования к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работе с исходящим документом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3923B5" w:rsidRPr="0002303E" w:rsidRDefault="002C5CE1" w:rsidP="002A6512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2C5CE1">
              <w:rPr>
                <w:rFonts w:eastAsia="Calibri"/>
                <w:sz w:val="28"/>
                <w:szCs w:val="28"/>
              </w:rPr>
              <w:t>Операции «Подготовка исходящего документа к отправке» и «Отправка исходящего документа» являются этапами бизнес процесса отправки исходящего докум</w:t>
            </w:r>
            <w:r>
              <w:rPr>
                <w:rFonts w:eastAsia="Calibri"/>
                <w:sz w:val="28"/>
                <w:szCs w:val="28"/>
              </w:rPr>
              <w:t>ента. Дополнительных функций в т</w:t>
            </w:r>
            <w:r w:rsidRPr="002C5CE1">
              <w:rPr>
                <w:rFonts w:eastAsia="Calibri"/>
                <w:sz w:val="28"/>
                <w:szCs w:val="28"/>
              </w:rPr>
              <w:t>ехническом задании к указанным операциям не предъявляется.</w:t>
            </w:r>
          </w:p>
        </w:tc>
      </w:tr>
      <w:tr w:rsidR="000E509B" w:rsidRPr="00900006" w:rsidTr="00D8768A">
        <w:trPr>
          <w:trHeight w:val="1651"/>
        </w:trPr>
        <w:tc>
          <w:tcPr>
            <w:tcW w:w="851" w:type="dxa"/>
            <w:shd w:val="clear" w:color="auto" w:fill="auto"/>
            <w:vAlign w:val="center"/>
          </w:tcPr>
          <w:p w:rsidR="000E509B" w:rsidRDefault="000E509B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E509B" w:rsidRDefault="000E509B" w:rsidP="000E509B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пояснить формулировку пункта 4.2.1.21.3 т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ехнического задания «Требования к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модулю «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Оргструктура</w:t>
            </w:r>
            <w:proofErr w:type="spellEnd"/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E509B" w:rsidRPr="000E509B" w:rsidRDefault="000E509B" w:rsidP="002A6512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0E509B">
              <w:rPr>
                <w:rFonts w:eastAsia="Calibri"/>
                <w:sz w:val="28"/>
                <w:szCs w:val="28"/>
              </w:rPr>
              <w:t xml:space="preserve">Под источником </w:t>
            </w:r>
            <w:proofErr w:type="gramStart"/>
            <w:r w:rsidRPr="000E509B">
              <w:rPr>
                <w:rFonts w:eastAsia="Calibri"/>
                <w:sz w:val="28"/>
                <w:szCs w:val="28"/>
              </w:rPr>
              <w:t>мастер-информации</w:t>
            </w:r>
            <w:proofErr w:type="gramEnd"/>
            <w:r w:rsidRPr="000E509B">
              <w:rPr>
                <w:rFonts w:eastAsia="Calibri"/>
                <w:sz w:val="28"/>
                <w:szCs w:val="28"/>
              </w:rPr>
              <w:t xml:space="preserve"> предусматривается система, в которой хранятся эталонные значения данных, в т.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E509B">
              <w:rPr>
                <w:rFonts w:eastAsia="Calibri"/>
                <w:sz w:val="28"/>
                <w:szCs w:val="28"/>
              </w:rPr>
              <w:t>ч. и справочника «</w:t>
            </w:r>
            <w:proofErr w:type="spellStart"/>
            <w:r w:rsidRPr="000E509B">
              <w:rPr>
                <w:rFonts w:eastAsia="Calibri"/>
                <w:sz w:val="28"/>
                <w:szCs w:val="28"/>
              </w:rPr>
              <w:t>Оргструктура</w:t>
            </w:r>
            <w:proofErr w:type="spellEnd"/>
            <w:r>
              <w:rPr>
                <w:rFonts w:eastAsia="Calibri"/>
                <w:sz w:val="28"/>
                <w:szCs w:val="28"/>
              </w:rPr>
              <w:t>».</w:t>
            </w:r>
          </w:p>
        </w:tc>
      </w:tr>
      <w:tr w:rsidR="000E509B" w:rsidRPr="00900006" w:rsidTr="00D8768A">
        <w:trPr>
          <w:trHeight w:val="1826"/>
        </w:trPr>
        <w:tc>
          <w:tcPr>
            <w:tcW w:w="851" w:type="dxa"/>
            <w:shd w:val="clear" w:color="auto" w:fill="auto"/>
            <w:vAlign w:val="center"/>
          </w:tcPr>
          <w:p w:rsidR="000E509B" w:rsidRDefault="000E509B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0E509B" w:rsidRDefault="008E7E77" w:rsidP="00D8768A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пояснить формулировку пункта 4.3.1.2 т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ехнического задания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части лицензионной политики СКЭД</w:t>
            </w:r>
            <w:r w:rsidR="00D876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E509B" w:rsidRPr="000E509B" w:rsidRDefault="002C5CE1" w:rsidP="008E7E77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Пункт 4.3.1.2 т</w:t>
            </w:r>
            <w:r w:rsidR="000E509B" w:rsidRPr="008E7E77">
              <w:rPr>
                <w:rFonts w:eastAsia="Calibri"/>
                <w:sz w:val="28"/>
                <w:szCs w:val="28"/>
              </w:rPr>
              <w:t>ехнического задания не содержит требований</w:t>
            </w:r>
            <w:r w:rsidR="008E7E77">
              <w:rPr>
                <w:rFonts w:eastAsia="Calibri"/>
                <w:sz w:val="28"/>
                <w:szCs w:val="28"/>
              </w:rPr>
              <w:t xml:space="preserve"> по передаче Заказчику лицензии</w:t>
            </w:r>
            <w:r w:rsidR="000E509B" w:rsidRPr="008E7E77">
              <w:rPr>
                <w:rFonts w:eastAsia="Calibri"/>
                <w:sz w:val="28"/>
                <w:szCs w:val="28"/>
              </w:rPr>
              <w:t xml:space="preserve"> не ограниченной по количеству пользователей и сроку действия.</w:t>
            </w:r>
          </w:p>
        </w:tc>
      </w:tr>
      <w:tr w:rsidR="000E509B" w:rsidRPr="00900006" w:rsidTr="00D8768A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0E509B" w:rsidRDefault="000E509B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E509B" w:rsidRDefault="008E7E77" w:rsidP="00D8768A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пояснить формулировку пункта </w:t>
            </w:r>
            <w:r w:rsidRPr="008E7E77">
              <w:rPr>
                <w:rFonts w:eastAsia="Calibri"/>
                <w:sz w:val="28"/>
                <w:szCs w:val="28"/>
              </w:rPr>
              <w:t xml:space="preserve">п.4.3.1.3.4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ехнического задания «Требования к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платформе системы управления контентом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="00D876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части </w:t>
            </w:r>
            <w:r w:rsidR="00D8768A" w:rsidRPr="008E7E77">
              <w:rPr>
                <w:rFonts w:eastAsia="Calibri"/>
                <w:sz w:val="28"/>
                <w:szCs w:val="28"/>
              </w:rPr>
              <w:t>создания прикладных информационных систем</w:t>
            </w:r>
            <w:r w:rsidR="00D8768A">
              <w:rPr>
                <w:rFonts w:eastAsia="Calibri"/>
                <w:sz w:val="28"/>
                <w:szCs w:val="28"/>
              </w:rPr>
              <w:t xml:space="preserve"> широкого спектра назначения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E509B" w:rsidRPr="000E509B" w:rsidRDefault="002C5CE1" w:rsidP="008E7E77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2C5CE1">
              <w:rPr>
                <w:rFonts w:eastAsia="Calibri"/>
                <w:sz w:val="28"/>
                <w:szCs w:val="28"/>
              </w:rPr>
              <w:t>В пункте 4.3.1.3.4 технического задания указано требование к платформе, которое отражает возможность создания прикладных информационных систем, обладающих различными функциональными возможностями.</w:t>
            </w:r>
          </w:p>
        </w:tc>
      </w:tr>
      <w:tr w:rsidR="000E509B" w:rsidRPr="00900006" w:rsidTr="00D8768A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0E509B" w:rsidRDefault="000E509B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E509B" w:rsidRDefault="008E7E77" w:rsidP="002C5CE1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пояснить формулировку пункта </w:t>
            </w:r>
            <w:r w:rsidRPr="008E7E77">
              <w:rPr>
                <w:rFonts w:eastAsia="Calibri"/>
                <w:sz w:val="28"/>
                <w:szCs w:val="28"/>
              </w:rPr>
              <w:t>4.3.1.3.</w:t>
            </w:r>
            <w:r w:rsidR="00D8768A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т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ехнического задания «Требования к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платформе системы управления контентом</w:t>
            </w:r>
            <w:r w:rsidRPr="000E509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="00D8768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части трехуровневой архитектуры.</w:t>
            </w:r>
          </w:p>
        </w:tc>
        <w:tc>
          <w:tcPr>
            <w:tcW w:w="6096" w:type="dxa"/>
            <w:shd w:val="clear" w:color="auto" w:fill="auto"/>
          </w:tcPr>
          <w:p w:rsidR="000E509B" w:rsidRPr="000E509B" w:rsidRDefault="008E7E77" w:rsidP="002A6512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8E7E77">
              <w:rPr>
                <w:rFonts w:eastAsia="Calibri"/>
                <w:sz w:val="28"/>
                <w:szCs w:val="28"/>
              </w:rPr>
              <w:t>Трехуровневая архитектура – архитектура системы, имеющая в своем составе следующие уровни: клиент, сервер приложений, сервер базы данных.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AC2">
          <w:rPr>
            <w:noProof/>
          </w:rPr>
          <w:t>3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6E1B"/>
    <w:rsid w:val="00F64E20"/>
    <w:rsid w:val="00F66369"/>
    <w:rsid w:val="00F72B29"/>
    <w:rsid w:val="00F757C1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48</cp:revision>
  <cp:lastPrinted>2014-10-31T15:12:00Z</cp:lastPrinted>
  <dcterms:created xsi:type="dcterms:W3CDTF">2014-06-02T13:30:00Z</dcterms:created>
  <dcterms:modified xsi:type="dcterms:W3CDTF">2015-08-25T14:06:00Z</dcterms:modified>
</cp:coreProperties>
</file>