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C" w:rsidRDefault="00F4392C">
      <w:pPr>
        <w:spacing w:before="0"/>
        <w:jc w:val="center"/>
        <w:outlineLvl w:val="4"/>
        <w:rPr>
          <w:b/>
          <w:sz w:val="24"/>
        </w:rPr>
      </w:pPr>
      <w:bookmarkStart w:id="0" w:name="_GoBack"/>
      <w:bookmarkEnd w:id="0"/>
    </w:p>
    <w:p w:rsidR="00F4392C" w:rsidRDefault="00030868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Извещение </w:t>
      </w:r>
    </w:p>
    <w:p w:rsidR="00F4392C" w:rsidRDefault="00030868">
      <w:pPr>
        <w:spacing w:before="0"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о проведении открытых торгов в форме конкурса 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754"/>
        <w:gridCol w:w="2355"/>
        <w:gridCol w:w="6311"/>
      </w:tblGrid>
      <w:tr w:rsidR="00F4392C">
        <w:trPr>
          <w:trHeight w:val="144"/>
        </w:trPr>
        <w:tc>
          <w:tcPr>
            <w:tcW w:w="754" w:type="dxa"/>
            <w:vAlign w:val="center"/>
          </w:tcPr>
          <w:p w:rsidR="00F4392C" w:rsidRDefault="0003086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355" w:type="dxa"/>
            <w:vAlign w:val="center"/>
          </w:tcPr>
          <w:p w:rsidR="00F4392C" w:rsidRDefault="0003086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311" w:type="dxa"/>
            <w:vAlign w:val="center"/>
          </w:tcPr>
          <w:p w:rsidR="00F4392C" w:rsidRDefault="00030868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Содержание пункта Извещения</w:t>
            </w:r>
          </w:p>
        </w:tc>
      </w:tr>
      <w:tr w:rsidR="00F4392C">
        <w:trPr>
          <w:trHeight w:val="144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Способ/форма торгов </w:t>
            </w:r>
          </w:p>
        </w:tc>
        <w:tc>
          <w:tcPr>
            <w:tcW w:w="6311" w:type="dxa"/>
          </w:tcPr>
          <w:p w:rsidR="00F4392C" w:rsidRDefault="0003086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торги в форме конкурса (далее также - Конкурс).</w:t>
            </w:r>
          </w:p>
        </w:tc>
      </w:tr>
      <w:tr w:rsidR="00F4392C">
        <w:trPr>
          <w:trHeight w:val="144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6311" w:type="dxa"/>
          </w:tcPr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Акционерное общество «КАВКАЗ.РФ» 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Место нахождения: </w:t>
            </w:r>
            <w:r>
              <w:rPr>
                <w:b w:val="0"/>
                <w:sz w:val="24"/>
              </w:rPr>
              <w:t xml:space="preserve">Российская Федерация, город Москва, улица Тестовская, дом 10, этаж 26, помещение </w:t>
            </w:r>
            <w:r>
              <w:rPr>
                <w:b w:val="0"/>
                <w:sz w:val="24"/>
                <w:lang w:val="en-US"/>
              </w:rPr>
              <w:t>I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Почтовый адрес: </w:t>
            </w:r>
          </w:p>
          <w:p w:rsidR="00F4392C" w:rsidRDefault="00030868">
            <w:pPr>
              <w:widowControl w:val="0"/>
              <w:spacing w:afterLines="40" w:after="9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123112, г. Москва, </w:t>
            </w:r>
            <w:r>
              <w:rPr>
                <w:sz w:val="24"/>
                <w:szCs w:val="24"/>
              </w:rPr>
              <w:t>ул. Тестовская, д. 10, 26 этаж, помещение I.</w:t>
            </w:r>
          </w:p>
          <w:p w:rsidR="00F4392C" w:rsidRDefault="00030868">
            <w:pPr>
              <w:widowControl w:val="0"/>
              <w:spacing w:afterLines="40" w:after="96"/>
              <w:rPr>
                <w:rStyle w:val="a5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ncrc</w:t>
              </w:r>
              <w:r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F4392C" w:rsidRDefault="00030868">
            <w:pPr>
              <w:widowControl w:val="0"/>
              <w:spacing w:afterLines="40" w:after="96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Адрес сайта </w:t>
            </w:r>
            <w:r>
              <w:rPr>
                <w:bCs/>
                <w:sz w:val="24"/>
                <w:szCs w:val="24"/>
              </w:rPr>
              <w:t>Организатора торгов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bCs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ncrc</w:t>
              </w:r>
              <w:r>
                <w:rPr>
                  <w:rStyle w:val="a5"/>
                  <w:bCs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5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392C">
        <w:trPr>
          <w:trHeight w:val="144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Организатора торгов</w:t>
            </w:r>
          </w:p>
        </w:tc>
        <w:tc>
          <w:tcPr>
            <w:tcW w:w="6311" w:type="dxa"/>
          </w:tcPr>
          <w:p w:rsidR="00F4392C" w:rsidRDefault="00030868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Контактное лицо: Токарев Игорь Александрович (доб.: 421).</w:t>
            </w:r>
          </w:p>
          <w:p w:rsidR="00F4392C" w:rsidRDefault="00030868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Тел./факс: +7 (495) 775-91-22</w:t>
            </w:r>
          </w:p>
          <w:p w:rsidR="00F4392C" w:rsidRDefault="00030868">
            <w:pPr>
              <w:widowControl w:val="0"/>
              <w:spacing w:afterLines="40" w:after="9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i</w:t>
            </w:r>
            <w:r>
              <w:rPr>
                <w:sz w:val="24"/>
                <w:szCs w:val="24"/>
                <w:lang w:val="en-US"/>
              </w:rPr>
              <w:t>nfo</w:t>
            </w:r>
            <w:r>
              <w:rPr>
                <w:sz w:val="24"/>
                <w:szCs w:val="24"/>
              </w:rPr>
              <w:t>@ncrc.ru.</w:t>
            </w:r>
          </w:p>
          <w:p w:rsidR="00F4392C" w:rsidRDefault="00F4392C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</w:p>
        </w:tc>
      </w:tr>
      <w:tr w:rsidR="00F4392C">
        <w:trPr>
          <w:trHeight w:val="144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электронной торговой площадки</w:t>
            </w:r>
          </w:p>
        </w:tc>
        <w:tc>
          <w:tcPr>
            <w:tcW w:w="6311" w:type="dxa"/>
          </w:tcPr>
          <w:p w:rsidR="00F4392C" w:rsidRDefault="00030868">
            <w:pPr>
              <w:widowControl w:val="0"/>
              <w:tabs>
                <w:tab w:val="left" w:pos="42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торговая площадка: АО «</w:t>
            </w:r>
            <w:r>
              <w:rPr>
                <w:color w:val="000000"/>
                <w:sz w:val="24"/>
                <w:szCs w:val="24"/>
              </w:rPr>
              <w:t>ЭТС</w:t>
            </w:r>
            <w:r>
              <w:rPr>
                <w:sz w:val="24"/>
                <w:szCs w:val="24"/>
              </w:rPr>
              <w:t>» (</w:t>
            </w:r>
            <w:r>
              <w:rPr>
                <w:color w:val="000000"/>
                <w:sz w:val="24"/>
                <w:szCs w:val="24"/>
              </w:rPr>
              <w:t>https://www.fabrikant.ru/</w:t>
            </w:r>
            <w:r>
              <w:rPr>
                <w:sz w:val="24"/>
                <w:szCs w:val="24"/>
              </w:rPr>
              <w:t>).</w:t>
            </w:r>
          </w:p>
        </w:tc>
      </w:tr>
      <w:tr w:rsidR="00F4392C">
        <w:trPr>
          <w:trHeight w:val="144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311" w:type="dxa"/>
          </w:tcPr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z w:val="24"/>
              </w:rPr>
              <w:t xml:space="preserve">Право </w:t>
            </w:r>
            <w:r>
              <w:rPr>
                <w:b w:val="0"/>
                <w:iCs/>
                <w:sz w:val="24"/>
              </w:rPr>
              <w:t xml:space="preserve">заключения договора купли-продажи акций акционерного общества «Управляющая компания Архыз», </w:t>
            </w:r>
            <w:r>
              <w:rPr>
                <w:b w:val="0"/>
                <w:sz w:val="24"/>
              </w:rPr>
              <w:t>зарегистрированног</w:t>
            </w:r>
            <w:r>
              <w:rPr>
                <w:b w:val="0"/>
                <w:sz w:val="24"/>
              </w:rPr>
              <w:t xml:space="preserve">о в соответствии с законодательством Российской Федерации «04» мая 2022 года Управлением Федеральной налоговой службы по Карачаево-Черкесской Республике за ОГРН 1220900002179, ИНН 0900003460, КПП 090001001, адрес юридического лица: </w:t>
            </w:r>
            <w:r>
              <w:rPr>
                <w:rFonts w:eastAsiaTheme="minorHAnsi"/>
                <w:b w:val="0"/>
                <w:sz w:val="24"/>
              </w:rPr>
              <w:t>369152, Карачаево-Черкес</w:t>
            </w:r>
            <w:r>
              <w:rPr>
                <w:rFonts w:eastAsiaTheme="minorHAnsi"/>
                <w:b w:val="0"/>
                <w:sz w:val="24"/>
              </w:rPr>
              <w:t>ская Республика, м.р-н Зеленчукский, с.п. Архызское, с. Архыз, ул. Горная, д. 1, этаж 2, помещение 2.7</w:t>
            </w:r>
            <w:r>
              <w:rPr>
                <w:b w:val="0"/>
                <w:iCs/>
                <w:sz w:val="24"/>
              </w:rPr>
              <w:t xml:space="preserve">. </w:t>
            </w:r>
            <w:r>
              <w:rPr>
                <w:b w:val="0"/>
                <w:snapToGrid w:val="0"/>
                <w:sz w:val="24"/>
              </w:rPr>
              <w:t xml:space="preserve"> 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Право заключения акционерного соглашения.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Право заключения договора залога акций. 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Подробное описание предмета Конкурса содержится в документации о Ко</w:t>
            </w:r>
            <w:r>
              <w:rPr>
                <w:b w:val="0"/>
                <w:snapToGrid w:val="0"/>
                <w:sz w:val="24"/>
              </w:rPr>
              <w:t>нкурсе.</w:t>
            </w:r>
          </w:p>
        </w:tc>
      </w:tr>
      <w:tr w:rsidR="00F4392C">
        <w:trPr>
          <w:trHeight w:val="144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Договоры, подлежащие заключению по результатам </w:t>
            </w:r>
            <w:r>
              <w:rPr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6311" w:type="dxa"/>
          </w:tcPr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lastRenderedPageBreak/>
              <w:t>Договор купли-продажи акций, Акционерное соглашение, Договор залога Акций (далее также – Договоры), проекты которых являются неотъемлемыми частями Извещения и документации о Конкурсе.</w:t>
            </w:r>
          </w:p>
        </w:tc>
      </w:tr>
      <w:tr w:rsidR="00F4392C">
        <w:trPr>
          <w:trHeight w:val="1069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(минимальная) цена договора купли-продажи акций</w:t>
            </w:r>
          </w:p>
        </w:tc>
        <w:tc>
          <w:tcPr>
            <w:tcW w:w="6311" w:type="dxa"/>
          </w:tcPr>
          <w:p w:rsidR="00F4392C" w:rsidRDefault="00030868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17</w:t>
            </w:r>
            <w:r>
              <w:rPr>
                <w:bCs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color w:val="000000"/>
                <w:sz w:val="24"/>
              </w:rPr>
              <w:t>017</w:t>
            </w:r>
            <w:r>
              <w:rPr>
                <w:color w:val="000000"/>
                <w:sz w:val="24"/>
                <w:lang w:val="en-GB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688</w:t>
            </w:r>
            <w:r>
              <w:rPr>
                <w:bCs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969,05 (</w:t>
            </w:r>
            <w:bookmarkStart w:id="3" w:name="_DV_M124"/>
            <w:bookmarkStart w:id="4" w:name="_DV_M125"/>
            <w:bookmarkEnd w:id="3"/>
            <w:bookmarkEnd w:id="4"/>
            <w:r>
              <w:rPr>
                <w:bCs/>
                <w:color w:val="000000"/>
                <w:sz w:val="24"/>
                <w:szCs w:val="24"/>
              </w:rPr>
              <w:t xml:space="preserve">семнадцать </w:t>
            </w:r>
            <w:r>
              <w:rPr>
                <w:color w:val="000000"/>
                <w:sz w:val="24"/>
              </w:rPr>
              <w:t xml:space="preserve">миллиардов семнадцать миллионов </w:t>
            </w:r>
            <w:r>
              <w:rPr>
                <w:bCs/>
                <w:color w:val="000000"/>
                <w:sz w:val="24"/>
                <w:szCs w:val="24"/>
              </w:rPr>
              <w:t xml:space="preserve">шестьсот восемьдесят восемь </w:t>
            </w:r>
            <w:r>
              <w:rPr>
                <w:color w:val="000000"/>
                <w:sz w:val="24"/>
              </w:rPr>
              <w:t>тысяч</w:t>
            </w:r>
            <w:r>
              <w:rPr>
                <w:bCs/>
                <w:color w:val="000000"/>
                <w:sz w:val="24"/>
                <w:szCs w:val="24"/>
              </w:rPr>
              <w:t xml:space="preserve"> девятьсот шестьдесят девять</w:t>
            </w:r>
            <w:r>
              <w:rPr>
                <w:color w:val="000000"/>
                <w:sz w:val="24"/>
              </w:rPr>
              <w:t>)</w:t>
            </w:r>
            <w:bookmarkStart w:id="5" w:name="_DV_M126"/>
            <w:bookmarkEnd w:id="5"/>
            <w:r>
              <w:rPr>
                <w:color w:val="000000"/>
                <w:sz w:val="24"/>
              </w:rPr>
              <w:t xml:space="preserve"> рублей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</w:rPr>
              <w:t xml:space="preserve"> копеек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4392C">
        <w:trPr>
          <w:trHeight w:val="1611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6311" w:type="dxa"/>
            <w:vAlign w:val="center"/>
          </w:tcPr>
          <w:p w:rsidR="00F4392C" w:rsidRDefault="00030868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Любые российские юридические лица, </w:t>
            </w:r>
            <w:r>
              <w:rPr>
                <w:sz w:val="24"/>
                <w:szCs w:val="24"/>
              </w:rPr>
              <w:t>зарегистрированные в установленном законом порядке, независимо от организационно-правовой формы, формы собственности и места нахождения, соответствующие требованиям, установленным в документации о Конкурсе.</w:t>
            </w:r>
          </w:p>
        </w:tc>
      </w:tr>
      <w:tr w:rsidR="00F4392C">
        <w:trPr>
          <w:trHeight w:val="2181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Срок, место и порядок предоставления </w:t>
            </w:r>
            <w:r>
              <w:rPr>
                <w:sz w:val="24"/>
                <w:szCs w:val="24"/>
              </w:rPr>
              <w:t>документации о Конкурсе</w:t>
            </w:r>
          </w:p>
        </w:tc>
        <w:tc>
          <w:tcPr>
            <w:tcW w:w="6311" w:type="dxa"/>
          </w:tcPr>
          <w:p w:rsidR="00F4392C" w:rsidRDefault="00030868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о Конкурсе официально размещена на электронной торговой площадке по адресу: </w:t>
            </w:r>
            <w:r>
              <w:rPr>
                <w:color w:val="000000"/>
                <w:sz w:val="24"/>
                <w:szCs w:val="24"/>
              </w:rPr>
              <w:t>https://www.fabrikant.ru/</w:t>
            </w:r>
            <w:r>
              <w:rPr>
                <w:sz w:val="24"/>
                <w:szCs w:val="24"/>
              </w:rPr>
              <w:t xml:space="preserve"> и на сайте АО «КАВКАЗ.РФ» по адресу: </w:t>
            </w:r>
            <w:hyperlink r:id="rId10" w:history="1">
              <w:r>
                <w:rPr>
                  <w:rStyle w:val="a5"/>
                  <w:sz w:val="24"/>
                  <w:szCs w:val="24"/>
                </w:rPr>
                <w:t>www.ncrc.ru</w:t>
              </w:r>
            </w:hyperlink>
            <w:r>
              <w:rPr>
                <w:sz w:val="24"/>
                <w:szCs w:val="24"/>
              </w:rPr>
              <w:t xml:space="preserve">, доступна для ознакомления любым </w:t>
            </w:r>
            <w:r>
              <w:rPr>
                <w:sz w:val="24"/>
                <w:szCs w:val="24"/>
              </w:rPr>
              <w:t xml:space="preserve">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Конкурсе на бумажном носителе не предусмотрено. </w:t>
            </w:r>
          </w:p>
        </w:tc>
      </w:tr>
      <w:tr w:rsidR="00F4392C">
        <w:trPr>
          <w:trHeight w:val="1183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</w:t>
            </w:r>
          </w:p>
        </w:tc>
        <w:tc>
          <w:tcPr>
            <w:tcW w:w="6311" w:type="dxa"/>
          </w:tcPr>
          <w:p w:rsidR="00F4392C" w:rsidRDefault="000308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Размер: 500 000 000 рублей.</w:t>
            </w:r>
          </w:p>
          <w:p w:rsidR="00F4392C" w:rsidRDefault="000308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Информа</w:t>
            </w:r>
            <w:r>
              <w:rPr>
                <w:b w:val="0"/>
                <w:snapToGrid w:val="0"/>
                <w:sz w:val="24"/>
              </w:rPr>
              <w:t>ция о форме и порядке предоставления задатка приведена в документации о Конкурсе.</w:t>
            </w:r>
          </w:p>
        </w:tc>
      </w:tr>
      <w:tr w:rsidR="00F4392C">
        <w:trPr>
          <w:trHeight w:val="1711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11" w:type="dxa"/>
          </w:tcPr>
          <w:p w:rsidR="00F4392C" w:rsidRDefault="000308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подачи заявок:</w:t>
            </w:r>
          </w:p>
          <w:p w:rsidR="00F4392C" w:rsidRDefault="0003086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  </w:t>
            </w:r>
          </w:p>
          <w:p w:rsidR="00F4392C" w:rsidRDefault="000308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F4392C" w:rsidRDefault="0003086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  <w:r>
              <w:rPr>
                <w:b w:val="0"/>
                <w:sz w:val="24"/>
              </w:rPr>
              <w:t xml:space="preserve"> февраля</w:t>
            </w:r>
            <w:r>
              <w:rPr>
                <w:b w:val="0"/>
                <w:sz w:val="24"/>
              </w:rPr>
              <w:t xml:space="preserve"> 202</w:t>
            </w:r>
            <w:r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 г. в </w:t>
            </w:r>
            <w:r>
              <w:rPr>
                <w:b w:val="0"/>
                <w:snapToGrid w:val="0"/>
                <w:sz w:val="24"/>
              </w:rPr>
              <w:t>16</w:t>
            </w:r>
            <w:r>
              <w:rPr>
                <w:b w:val="0"/>
                <w:snapToGrid w:val="0"/>
                <w:sz w:val="24"/>
              </w:rPr>
              <w:t xml:space="preserve"> </w:t>
            </w:r>
            <w:r>
              <w:rPr>
                <w:b w:val="0"/>
                <w:snapToGrid w:val="0"/>
                <w:sz w:val="24"/>
              </w:rPr>
              <w:t xml:space="preserve">ч. </w:t>
            </w:r>
            <w:r>
              <w:rPr>
                <w:b w:val="0"/>
                <w:snapToGrid w:val="0"/>
                <w:sz w:val="24"/>
              </w:rPr>
              <w:t>00</w:t>
            </w:r>
            <w:r>
              <w:rPr>
                <w:b w:val="0"/>
                <w:snapToGrid w:val="0"/>
                <w:sz w:val="24"/>
              </w:rPr>
              <w:t xml:space="preserve"> мин.</w:t>
            </w:r>
            <w:r>
              <w:rPr>
                <w:b w:val="0"/>
                <w:sz w:val="24"/>
              </w:rPr>
              <w:t> </w:t>
            </w:r>
            <w:r>
              <w:rPr>
                <w:b w:val="0"/>
                <w:snapToGrid w:val="0"/>
                <w:sz w:val="24"/>
              </w:rPr>
              <w:t>(</w:t>
            </w:r>
            <w:r>
              <w:rPr>
                <w:b w:val="0"/>
                <w:sz w:val="24"/>
              </w:rPr>
              <w:t xml:space="preserve">по </w:t>
            </w:r>
            <w:r>
              <w:rPr>
                <w:b w:val="0"/>
                <w:sz w:val="24"/>
              </w:rPr>
              <w:t>московскому</w:t>
            </w:r>
            <w:r>
              <w:rPr>
                <w:b w:val="0"/>
                <w:sz w:val="24"/>
              </w:rPr>
              <w:t xml:space="preserve"> времени</w:t>
            </w:r>
            <w:r>
              <w:rPr>
                <w:b w:val="0"/>
                <w:snapToGrid w:val="0"/>
                <w:sz w:val="24"/>
              </w:rPr>
              <w:t>).</w:t>
            </w:r>
          </w:p>
        </w:tc>
      </w:tr>
      <w:tr w:rsidR="00F4392C">
        <w:trPr>
          <w:trHeight w:val="670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311" w:type="dxa"/>
          </w:tcPr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Заявки подаются по адресу электронной торговой площадки, указанному в пункте 4 настоящего Извещения, в порядке, предусмотренном документацией о Конкурсе.</w:t>
            </w:r>
          </w:p>
        </w:tc>
      </w:tr>
      <w:tr w:rsidR="00F4392C">
        <w:trPr>
          <w:trHeight w:val="670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Переторжка</w:t>
            </w:r>
          </w:p>
        </w:tc>
        <w:tc>
          <w:tcPr>
            <w:tcW w:w="6311" w:type="dxa"/>
          </w:tcPr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Переторжка проводится в очном формате в порядке, предусмотренном разделом 11 документации о Конкурсе.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Переторжка проводится в течение двух дней (первый день переторжки – первый этап; второй день переторжки – второй этап).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1) </w:t>
            </w:r>
            <w:r>
              <w:rPr>
                <w:snapToGrid w:val="0"/>
                <w:sz w:val="24"/>
              </w:rPr>
              <w:t>д</w:t>
            </w:r>
            <w:r>
              <w:rPr>
                <w:snapToGrid w:val="0"/>
                <w:sz w:val="24"/>
              </w:rPr>
              <w:t xml:space="preserve">ата </w:t>
            </w:r>
            <w:r>
              <w:rPr>
                <w:snapToGrid w:val="0"/>
                <w:sz w:val="24"/>
              </w:rPr>
              <w:t>провед</w:t>
            </w:r>
            <w:r>
              <w:rPr>
                <w:snapToGrid w:val="0"/>
                <w:sz w:val="24"/>
              </w:rPr>
              <w:t>ения первого этапа переторжки: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 февраля</w:t>
            </w:r>
            <w:r>
              <w:rPr>
                <w:snapToGrid w:val="0"/>
                <w:sz w:val="24"/>
              </w:rPr>
              <w:t xml:space="preserve"> 202</w:t>
            </w:r>
            <w:r>
              <w:rPr>
                <w:snapToGrid w:val="0"/>
                <w:sz w:val="24"/>
              </w:rPr>
              <w:t>3</w:t>
            </w:r>
            <w:r>
              <w:rPr>
                <w:snapToGrid w:val="0"/>
                <w:sz w:val="24"/>
              </w:rPr>
              <w:t xml:space="preserve"> г. 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Время начала первого этапа переторжки: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12</w:t>
            </w:r>
            <w:r>
              <w:rPr>
                <w:snapToGrid w:val="0"/>
                <w:sz w:val="24"/>
              </w:rPr>
              <w:t xml:space="preserve"> ч. </w:t>
            </w:r>
            <w:r>
              <w:rPr>
                <w:snapToGrid w:val="0"/>
                <w:sz w:val="24"/>
              </w:rPr>
              <w:t>00</w:t>
            </w:r>
            <w:r>
              <w:rPr>
                <w:snapToGrid w:val="0"/>
                <w:sz w:val="24"/>
              </w:rPr>
              <w:t xml:space="preserve"> мин. </w:t>
            </w:r>
            <w:r>
              <w:rPr>
                <w:snapToGrid w:val="0"/>
                <w:sz w:val="24"/>
              </w:rPr>
              <w:t xml:space="preserve">(по </w:t>
            </w:r>
            <w:r>
              <w:rPr>
                <w:snapToGrid w:val="0"/>
                <w:sz w:val="24"/>
              </w:rPr>
              <w:t xml:space="preserve">московскому </w:t>
            </w:r>
            <w:r>
              <w:rPr>
                <w:snapToGrid w:val="0"/>
                <w:sz w:val="24"/>
              </w:rPr>
              <w:t>времени)</w:t>
            </w:r>
            <w:r>
              <w:rPr>
                <w:snapToGrid w:val="0"/>
                <w:sz w:val="24"/>
              </w:rPr>
              <w:t>.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Время окончания первого этапа переторжки: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16</w:t>
            </w:r>
            <w:r>
              <w:rPr>
                <w:snapToGrid w:val="0"/>
                <w:sz w:val="24"/>
              </w:rPr>
              <w:t xml:space="preserve"> ч. </w:t>
            </w:r>
            <w:r>
              <w:rPr>
                <w:snapToGrid w:val="0"/>
                <w:sz w:val="24"/>
              </w:rPr>
              <w:t>00</w:t>
            </w:r>
            <w:r>
              <w:rPr>
                <w:snapToGrid w:val="0"/>
                <w:sz w:val="24"/>
              </w:rPr>
              <w:t xml:space="preserve"> мин. (по московскому времени).</w:t>
            </w:r>
          </w:p>
          <w:p w:rsidR="00F4392C" w:rsidRDefault="00F4392C">
            <w:pPr>
              <w:pStyle w:val="Tabletext"/>
              <w:widowControl w:val="0"/>
              <w:rPr>
                <w:snapToGrid w:val="0"/>
                <w:sz w:val="24"/>
              </w:rPr>
            </w:pP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2) д</w:t>
            </w:r>
            <w:r>
              <w:rPr>
                <w:snapToGrid w:val="0"/>
                <w:sz w:val="24"/>
              </w:rPr>
              <w:t xml:space="preserve">ата </w:t>
            </w:r>
            <w:r>
              <w:rPr>
                <w:snapToGrid w:val="0"/>
                <w:sz w:val="24"/>
              </w:rPr>
              <w:t>проведения второго этапа переторжки: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 февраля</w:t>
            </w:r>
            <w:r>
              <w:rPr>
                <w:snapToGrid w:val="0"/>
                <w:sz w:val="24"/>
              </w:rPr>
              <w:t xml:space="preserve"> 202</w:t>
            </w:r>
            <w:r>
              <w:rPr>
                <w:snapToGrid w:val="0"/>
                <w:sz w:val="24"/>
              </w:rPr>
              <w:t xml:space="preserve">3 </w:t>
            </w:r>
            <w:r>
              <w:rPr>
                <w:snapToGrid w:val="0"/>
                <w:sz w:val="24"/>
              </w:rPr>
              <w:t xml:space="preserve">г. 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Время начала </w:t>
            </w:r>
            <w:r>
              <w:rPr>
                <w:snapToGrid w:val="0"/>
                <w:sz w:val="24"/>
              </w:rPr>
              <w:t>второго</w:t>
            </w:r>
            <w:r>
              <w:rPr>
                <w:snapToGrid w:val="0"/>
                <w:sz w:val="24"/>
              </w:rPr>
              <w:t xml:space="preserve"> этапа переторжки: </w:t>
            </w:r>
            <w:r>
              <w:rPr>
                <w:snapToGrid w:val="0"/>
                <w:sz w:val="24"/>
              </w:rPr>
              <w:t>12</w:t>
            </w:r>
            <w:r>
              <w:rPr>
                <w:snapToGrid w:val="0"/>
                <w:sz w:val="24"/>
              </w:rPr>
              <w:t xml:space="preserve"> ч. </w:t>
            </w:r>
            <w:r>
              <w:rPr>
                <w:snapToGrid w:val="0"/>
                <w:sz w:val="24"/>
              </w:rPr>
              <w:t>00</w:t>
            </w:r>
            <w:r>
              <w:rPr>
                <w:snapToGrid w:val="0"/>
                <w:sz w:val="24"/>
              </w:rPr>
              <w:t xml:space="preserve"> мин. (по московскому времени).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Время окончания </w:t>
            </w:r>
            <w:r>
              <w:rPr>
                <w:snapToGrid w:val="0"/>
                <w:sz w:val="24"/>
              </w:rPr>
              <w:t>второго</w:t>
            </w:r>
            <w:r>
              <w:rPr>
                <w:snapToGrid w:val="0"/>
                <w:sz w:val="24"/>
              </w:rPr>
              <w:t xml:space="preserve"> этапа переторжки: </w:t>
            </w:r>
            <w:r>
              <w:rPr>
                <w:snapToGrid w:val="0"/>
                <w:sz w:val="24"/>
              </w:rPr>
              <w:t>16</w:t>
            </w:r>
            <w:r>
              <w:rPr>
                <w:snapToGrid w:val="0"/>
                <w:sz w:val="24"/>
              </w:rPr>
              <w:t xml:space="preserve"> ч. </w:t>
            </w:r>
            <w:r>
              <w:rPr>
                <w:snapToGrid w:val="0"/>
                <w:sz w:val="24"/>
              </w:rPr>
              <w:t>00</w:t>
            </w:r>
            <w:r>
              <w:rPr>
                <w:snapToGrid w:val="0"/>
                <w:sz w:val="24"/>
              </w:rPr>
              <w:t xml:space="preserve"> мин. (по московскому времени).</w:t>
            </w:r>
          </w:p>
          <w:p w:rsidR="00F4392C" w:rsidRDefault="00030868">
            <w:pPr>
              <w:pStyle w:val="Tabletext"/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Место проведения переторжки: Российская Федерация, 123112, г. Москва, Пресненская наб., д. 10, стр. 2, этаж 41, переговорная 41.1 (Министерство экономического развития Российской Федерации).</w:t>
            </w:r>
          </w:p>
        </w:tc>
      </w:tr>
      <w:tr w:rsidR="00F4392C">
        <w:trPr>
          <w:trHeight w:val="1271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5" w:type="dxa"/>
          </w:tcPr>
          <w:p w:rsidR="00F4392C" w:rsidRDefault="00030868">
            <w:pPr>
              <w:widowControl w:val="0"/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311" w:type="dxa"/>
          </w:tcPr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Победителем </w:t>
            </w:r>
            <w:r>
              <w:rPr>
                <w:b w:val="0"/>
                <w:snapToGrid w:val="0"/>
                <w:sz w:val="24"/>
              </w:rPr>
              <w:t>Конкурса признается участник, заявка которого соответствует требованиям документации о Конкурсе и содержит предложение о наибольшем приведенном на год проведения Конкурса доходе от продажи 100% акций на основании установленного порядка оценки заявок соглас</w:t>
            </w:r>
            <w:r>
              <w:rPr>
                <w:b w:val="0"/>
                <w:snapToGrid w:val="0"/>
                <w:sz w:val="24"/>
              </w:rPr>
              <w:t>но документации о Конкурсе.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 xml:space="preserve">Приведенный на год проведения Конкурса доход от продажи 100% акций состоит из предложения участника Конкурса в заявке о сроке оплаты акций и предложения о стоимости 100% акций. 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Подробные условия и описание названных условий при</w:t>
            </w:r>
            <w:r>
              <w:rPr>
                <w:b w:val="0"/>
                <w:snapToGrid w:val="0"/>
                <w:sz w:val="24"/>
              </w:rPr>
              <w:t>ведены в документации о Конкурсе.</w:t>
            </w:r>
          </w:p>
          <w:p w:rsidR="00F4392C" w:rsidRDefault="0003086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>
              <w:rPr>
                <w:b w:val="0"/>
                <w:snapToGrid w:val="0"/>
                <w:sz w:val="24"/>
              </w:rPr>
              <w:t>Организатор торгов вправе отказаться от проведения Конкурса в любое время, до момента окончания срока подачи заявок на участие в Конкурсе.</w:t>
            </w:r>
          </w:p>
        </w:tc>
      </w:tr>
      <w:tr w:rsidR="00F4392C">
        <w:trPr>
          <w:trHeight w:val="1069"/>
        </w:trPr>
        <w:tc>
          <w:tcPr>
            <w:tcW w:w="754" w:type="dxa"/>
          </w:tcPr>
          <w:p w:rsidR="00F4392C" w:rsidRDefault="00F4392C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6" w:name="_Ref446062609"/>
            <w:bookmarkEnd w:id="6"/>
          </w:p>
        </w:tc>
        <w:tc>
          <w:tcPr>
            <w:tcW w:w="8666" w:type="dxa"/>
            <w:gridSpan w:val="2"/>
          </w:tcPr>
          <w:p w:rsidR="00F4392C" w:rsidRDefault="00030868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описание предмета Конкурса и условий подлежащих заключению договоров, а</w:t>
            </w:r>
            <w:r>
              <w:rPr>
                <w:sz w:val="24"/>
                <w:szCs w:val="24"/>
              </w:rPr>
              <w:t xml:space="preserve"> также этапов проводимого Конкурса содержится в документации о Конкурсе, являющейся неотъемлемой частью Извещения.</w:t>
            </w:r>
          </w:p>
        </w:tc>
      </w:tr>
    </w:tbl>
    <w:p w:rsidR="00F4392C" w:rsidRDefault="00F4392C">
      <w:pPr>
        <w:rPr>
          <w:sz w:val="24"/>
          <w:szCs w:val="24"/>
        </w:rPr>
      </w:pPr>
    </w:p>
    <w:sectPr w:rsidR="00F4392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2C" w:rsidRDefault="00030868">
      <w:pPr>
        <w:spacing w:before="0"/>
      </w:pPr>
      <w:r>
        <w:separator/>
      </w:r>
    </w:p>
  </w:endnote>
  <w:endnote w:type="continuationSeparator" w:id="0">
    <w:p w:rsidR="00F4392C" w:rsidRDefault="00030868">
      <w:pPr>
        <w:spacing w:before="0"/>
      </w:pPr>
      <w:r>
        <w:continuationSeparator/>
      </w:r>
    </w:p>
  </w:endnote>
  <w:endnote w:type="continuationNotice" w:id="1">
    <w:p w:rsidR="00F4392C" w:rsidRDefault="00F4392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5904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4392C" w:rsidRDefault="00030868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</w:sdtContent>
  </w:sdt>
  <w:p w:rsidR="00F4392C" w:rsidRDefault="00F439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2C" w:rsidRDefault="00030868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:rsidR="00F4392C" w:rsidRDefault="00F4392C">
    <w:pPr>
      <w:tabs>
        <w:tab w:val="right" w:pos="10260"/>
      </w:tabs>
      <w:rPr>
        <w:i/>
        <w:sz w:val="24"/>
        <w:szCs w:val="24"/>
      </w:rPr>
    </w:pPr>
  </w:p>
  <w:p w:rsidR="00F4392C" w:rsidRDefault="00030868">
    <w:pPr>
      <w:tabs>
        <w:tab w:val="right" w:pos="10260"/>
      </w:tabs>
      <w:jc w:val="right"/>
      <w:rPr>
        <w:sz w:val="20"/>
      </w:rPr>
    </w:pPr>
    <w:r>
      <w:rPr>
        <w:i/>
        <w:sz w:val="24"/>
        <w:szCs w:val="24"/>
      </w:rPr>
      <w:t xml:space="preserve">стр.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PAGE </w:instrText>
    </w:r>
    <w:r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1</w:t>
    </w:r>
    <w:r>
      <w:rPr>
        <w:i/>
        <w:sz w:val="24"/>
        <w:szCs w:val="24"/>
      </w:rPr>
      <w:fldChar w:fldCharType="end"/>
    </w:r>
    <w:r>
      <w:rPr>
        <w:i/>
        <w:sz w:val="24"/>
        <w:szCs w:val="24"/>
      </w:rPr>
      <w:t xml:space="preserve"> из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NUMPAGES </w:instrText>
    </w:r>
    <w:r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3</w:t>
    </w:r>
    <w:r>
      <w:rPr>
        <w:i/>
        <w:sz w:val="24"/>
        <w:szCs w:val="24"/>
      </w:rPr>
      <w:fldChar w:fldCharType="end"/>
    </w:r>
  </w:p>
  <w:p w:rsidR="00F4392C" w:rsidRDefault="00F439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2C" w:rsidRDefault="00030868">
      <w:pPr>
        <w:spacing w:before="0"/>
      </w:pPr>
      <w:r>
        <w:separator/>
      </w:r>
    </w:p>
  </w:footnote>
  <w:footnote w:type="continuationSeparator" w:id="0">
    <w:p w:rsidR="00F4392C" w:rsidRDefault="00030868">
      <w:pPr>
        <w:spacing w:before="0"/>
      </w:pPr>
      <w:r>
        <w:continuationSeparator/>
      </w:r>
    </w:p>
  </w:footnote>
  <w:footnote w:type="continuationNotice" w:id="1">
    <w:p w:rsidR="00F4392C" w:rsidRDefault="00F4392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2C" w:rsidRDefault="00F4392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stasiya Yaremchuk">
    <w15:presenceInfo w15:providerId="AD" w15:userId="S-1-5-21-2261193582-1815422570-2518922289-25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C"/>
    <w:rsid w:val="00030868"/>
    <w:rsid w:val="00F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0" w:line="240" w:lineRule="auto"/>
      <w:jc w:val="both"/>
    </w:pPr>
    <w:rPr>
      <w:rFonts w:eastAsia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3"/>
        <w:tab w:val="right" w:pos="935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="Times New Roman" w:cs="Times New Roman"/>
      <w:snapToGrid w:val="0"/>
      <w:sz w:val="20"/>
      <w:szCs w:val="26"/>
      <w:lang w:eastAsia="ru-RU"/>
    </w:rPr>
  </w:style>
  <w:style w:type="character" w:styleId="a5">
    <w:name w:val="Hyperlink"/>
    <w:aliases w:val="Исп:Чаплыгин А.Ю.тел 74316,%Hyperlink"/>
    <w:uiPriority w:val="99"/>
    <w:rPr>
      <w:color w:val="0000FF"/>
      <w:u w:val="single"/>
    </w:rPr>
  </w:style>
  <w:style w:type="character" w:customStyle="1" w:styleId="a6">
    <w:name w:val="комментарий"/>
    <w:rPr>
      <w:b/>
      <w:i/>
      <w:shd w:val="clear" w:color="auto" w:fill="FFFF99"/>
    </w:rPr>
  </w:style>
  <w:style w:type="paragraph" w:styleId="a7">
    <w:name w:val="List Paragraph"/>
    <w:aliases w:val="Алроса_маркер (Уровень 4),Маркер,ПАРАГРАФ,Абзац списка2"/>
    <w:basedOn w:val="a"/>
    <w:uiPriority w:val="34"/>
    <w:qFormat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Pr>
      <w:b/>
      <w:snapToGrid/>
      <w:sz w:val="20"/>
      <w:szCs w:val="24"/>
    </w:rPr>
  </w:style>
  <w:style w:type="paragraph" w:customStyle="1" w:styleId="Tabletext">
    <w:name w:val="Table_text"/>
    <w:basedOn w:val="a"/>
    <w:rPr>
      <w:snapToGrid/>
      <w:sz w:val="20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="Times New Roman" w:cs="Times New Roman"/>
      <w:snapToGrid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eastAsia="Times New Roman" w:cs="Times New Roman"/>
      <w:snapToGrid w:val="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eastAsia="Times New Roman" w:cs="Times New Roman"/>
      <w:b/>
      <w:bCs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0" w:line="240" w:lineRule="auto"/>
      <w:jc w:val="both"/>
    </w:pPr>
    <w:rPr>
      <w:rFonts w:eastAsia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3"/>
        <w:tab w:val="right" w:pos="935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="Times New Roman" w:cs="Times New Roman"/>
      <w:snapToGrid w:val="0"/>
      <w:sz w:val="20"/>
      <w:szCs w:val="26"/>
      <w:lang w:eastAsia="ru-RU"/>
    </w:rPr>
  </w:style>
  <w:style w:type="character" w:styleId="a5">
    <w:name w:val="Hyperlink"/>
    <w:aliases w:val="Исп:Чаплыгин А.Ю.тел 74316,%Hyperlink"/>
    <w:uiPriority w:val="99"/>
    <w:rPr>
      <w:color w:val="0000FF"/>
      <w:u w:val="single"/>
    </w:rPr>
  </w:style>
  <w:style w:type="character" w:customStyle="1" w:styleId="a6">
    <w:name w:val="комментарий"/>
    <w:rPr>
      <w:b/>
      <w:i/>
      <w:shd w:val="clear" w:color="auto" w:fill="FFFF99"/>
    </w:rPr>
  </w:style>
  <w:style w:type="paragraph" w:styleId="a7">
    <w:name w:val="List Paragraph"/>
    <w:aliases w:val="Алроса_маркер (Уровень 4),Маркер,ПАРАГРАФ,Абзац списка2"/>
    <w:basedOn w:val="a"/>
    <w:uiPriority w:val="34"/>
    <w:qFormat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Pr>
      <w:b/>
      <w:snapToGrid/>
      <w:sz w:val="20"/>
      <w:szCs w:val="24"/>
    </w:rPr>
  </w:style>
  <w:style w:type="paragraph" w:customStyle="1" w:styleId="Tabletext">
    <w:name w:val="Table_text"/>
    <w:basedOn w:val="a"/>
    <w:rPr>
      <w:snapToGrid/>
      <w:sz w:val="20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="Times New Roman" w:cs="Times New Roman"/>
      <w:snapToGrid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eastAsia="Times New Roman" w:cs="Times New Roman"/>
      <w:snapToGrid w:val="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eastAsia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rc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r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Хижина Татьяна Олеговна</dc:creator>
  <cp:lastModifiedBy>Хижина Татьяна Олеговна</cp:lastModifiedBy>
  <cp:revision>2</cp:revision>
  <cp:lastPrinted>2022-12-30T11:33:00Z</cp:lastPrinted>
  <dcterms:created xsi:type="dcterms:W3CDTF">2022-12-30T11:33:00Z</dcterms:created>
  <dcterms:modified xsi:type="dcterms:W3CDTF">2022-12-30T11:33:00Z</dcterms:modified>
</cp:coreProperties>
</file>